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06"/>
        <w:ind w:right="0"/>
        <w:rPr>
          <w:rFonts w:ascii="Times New Roman"/>
          <w:sz w:val="36"/>
        </w:rPr>
      </w:pPr>
    </w:p>
    <w:p>
      <w:pPr>
        <w:spacing w:line="278" w:lineRule="auto" w:before="0"/>
        <w:ind w:left="0" w:right="354" w:firstLine="0"/>
        <w:jc w:val="left"/>
        <w:rPr>
          <w:sz w:val="36"/>
        </w:rPr>
      </w:pPr>
      <w:r>
        <w:rPr>
          <w:b/>
          <w:sz w:val="36"/>
        </w:rPr>
        <w:t>Disability</w:t>
      </w:r>
      <w:r>
        <w:rPr>
          <w:b/>
          <w:spacing w:val="-21"/>
          <w:sz w:val="36"/>
        </w:rPr>
        <w:t> </w:t>
      </w:r>
      <w:r>
        <w:rPr>
          <w:b/>
          <w:sz w:val="36"/>
        </w:rPr>
        <w:t>Alliance</w:t>
      </w:r>
      <w:r>
        <w:rPr>
          <w:b/>
          <w:spacing w:val="-5"/>
          <w:sz w:val="36"/>
        </w:rPr>
        <w:t> </w:t>
      </w:r>
      <w:r>
        <w:rPr>
          <w:b/>
          <w:sz w:val="36"/>
        </w:rPr>
        <w:t>BC</w:t>
      </w:r>
      <w:r>
        <w:rPr>
          <w:b/>
          <w:spacing w:val="-5"/>
          <w:sz w:val="36"/>
        </w:rPr>
        <w:t> </w:t>
      </w:r>
      <w:r>
        <w:rPr>
          <w:b/>
          <w:sz w:val="36"/>
        </w:rPr>
        <w:t>|</w:t>
      </w:r>
      <w:r>
        <w:rPr>
          <w:b/>
          <w:spacing w:val="-4"/>
          <w:sz w:val="36"/>
        </w:rPr>
        <w:t> </w:t>
      </w:r>
      <w:r>
        <w:rPr>
          <w:sz w:val="36"/>
        </w:rPr>
        <w:t>Consultation</w:t>
      </w:r>
      <w:r>
        <w:rPr>
          <w:spacing w:val="-5"/>
          <w:sz w:val="36"/>
        </w:rPr>
        <w:t> </w:t>
      </w:r>
      <w:r>
        <w:rPr>
          <w:sz w:val="36"/>
        </w:rPr>
        <w:t>on</w:t>
      </w:r>
      <w:r>
        <w:rPr>
          <w:spacing w:val="-5"/>
          <w:sz w:val="36"/>
        </w:rPr>
        <w:t> </w:t>
      </w:r>
      <w:r>
        <w:rPr>
          <w:sz w:val="36"/>
        </w:rPr>
        <w:t>Draft</w:t>
      </w:r>
      <w:r>
        <w:rPr>
          <w:spacing w:val="-5"/>
          <w:sz w:val="36"/>
        </w:rPr>
        <w:t> </w:t>
      </w:r>
      <w:r>
        <w:rPr>
          <w:sz w:val="36"/>
        </w:rPr>
        <w:t>Legislation for Various</w:t>
      </w:r>
      <w:r>
        <w:rPr>
          <w:spacing w:val="-2"/>
          <w:sz w:val="36"/>
        </w:rPr>
        <w:t> </w:t>
      </w:r>
      <w:r>
        <w:rPr>
          <w:sz w:val="36"/>
        </w:rPr>
        <w:t>Tax Measures Under the Income</w:t>
      </w:r>
      <w:r>
        <w:rPr>
          <w:spacing w:val="-2"/>
          <w:sz w:val="36"/>
        </w:rPr>
        <w:t> </w:t>
      </w:r>
      <w:r>
        <w:rPr>
          <w:sz w:val="36"/>
        </w:rPr>
        <w:t>Tax</w:t>
      </w:r>
      <w:r>
        <w:rPr>
          <w:spacing w:val="-18"/>
          <w:sz w:val="36"/>
        </w:rPr>
        <w:t> </w:t>
      </w:r>
      <w:r>
        <w:rPr>
          <w:sz w:val="36"/>
        </w:rPr>
        <w:t>Act</w:t>
      </w:r>
      <w:r>
        <w:rPr>
          <w:spacing w:val="80"/>
          <w:sz w:val="36"/>
        </w:rPr>
        <w:t> </w:t>
      </w:r>
      <w:r>
        <w:rPr>
          <w:sz w:val="36"/>
        </w:rPr>
        <w:t>– Disability Tax Credit</w:t>
      </w:r>
    </w:p>
    <w:p>
      <w:pPr>
        <w:spacing w:before="160"/>
        <w:ind w:left="0" w:right="0" w:firstLine="0"/>
        <w:jc w:val="left"/>
        <w:rPr>
          <w:i/>
          <w:sz w:val="20"/>
        </w:rPr>
      </w:pPr>
      <w:r>
        <w:rPr>
          <w:i/>
          <w:sz w:val="20"/>
        </w:rPr>
        <w:t>Submitted</w:t>
      </w:r>
      <w:r>
        <w:rPr>
          <w:i/>
          <w:spacing w:val="-6"/>
          <w:sz w:val="20"/>
        </w:rPr>
        <w:t> </w:t>
      </w:r>
      <w:r>
        <w:rPr>
          <w:i/>
          <w:sz w:val="20"/>
        </w:rPr>
        <w:t>to</w:t>
      </w:r>
      <w:r>
        <w:rPr>
          <w:i/>
          <w:spacing w:val="-5"/>
          <w:sz w:val="20"/>
        </w:rPr>
        <w:t> </w:t>
      </w:r>
      <w:r>
        <w:rPr>
          <w:i/>
          <w:sz w:val="20"/>
        </w:rPr>
        <w:t>Department</w:t>
      </w:r>
      <w:r>
        <w:rPr>
          <w:i/>
          <w:spacing w:val="-5"/>
          <w:sz w:val="20"/>
        </w:rPr>
        <w:t> </w:t>
      </w:r>
      <w:r>
        <w:rPr>
          <w:i/>
          <w:sz w:val="20"/>
        </w:rPr>
        <w:t>of</w:t>
      </w:r>
      <w:r>
        <w:rPr>
          <w:i/>
          <w:spacing w:val="-1"/>
          <w:sz w:val="20"/>
        </w:rPr>
        <w:t> </w:t>
      </w:r>
      <w:r>
        <w:rPr>
          <w:i/>
          <w:sz w:val="20"/>
        </w:rPr>
        <w:t>Finance</w:t>
      </w:r>
      <w:r>
        <w:rPr>
          <w:i/>
          <w:spacing w:val="-5"/>
          <w:sz w:val="20"/>
        </w:rPr>
        <w:t> </w:t>
      </w:r>
      <w:r>
        <w:rPr>
          <w:i/>
          <w:sz w:val="20"/>
        </w:rPr>
        <w:t>Canada</w:t>
      </w:r>
      <w:r>
        <w:rPr>
          <w:i/>
          <w:spacing w:val="-6"/>
          <w:sz w:val="20"/>
        </w:rPr>
        <w:t> </w:t>
      </w:r>
      <w:r>
        <w:rPr>
          <w:i/>
          <w:sz w:val="20"/>
        </w:rPr>
        <w:t>by</w:t>
      </w:r>
      <w:r>
        <w:rPr>
          <w:i/>
          <w:spacing w:val="1"/>
          <w:sz w:val="20"/>
        </w:rPr>
        <w:t> </w:t>
      </w:r>
      <w:r>
        <w:rPr>
          <w:i/>
          <w:spacing w:val="-2"/>
          <w:sz w:val="20"/>
        </w:rPr>
        <w:t>email</w:t>
      </w:r>
    </w:p>
    <w:p>
      <w:pPr>
        <w:pStyle w:val="BodyText"/>
        <w:spacing w:line="278" w:lineRule="auto" w:before="195"/>
      </w:pPr>
      <w:r>
        <w:rPr/>
        <w:t>Please</w:t>
      </w:r>
      <w:r>
        <w:rPr>
          <w:spacing w:val="-4"/>
        </w:rPr>
        <w:t> </w:t>
      </w:r>
      <w:r>
        <w:rPr/>
        <w:t>accept</w:t>
      </w:r>
      <w:r>
        <w:rPr>
          <w:spacing w:val="-2"/>
        </w:rPr>
        <w:t> </w:t>
      </w:r>
      <w:r>
        <w:rPr/>
        <w:t>the</w:t>
      </w:r>
      <w:r>
        <w:rPr>
          <w:spacing w:val="-5"/>
        </w:rPr>
        <w:t> </w:t>
      </w:r>
      <w:r>
        <w:rPr/>
        <w:t>following</w:t>
      </w:r>
      <w:r>
        <w:rPr>
          <w:spacing w:val="-5"/>
        </w:rPr>
        <w:t> </w:t>
      </w:r>
      <w:r>
        <w:rPr/>
        <w:t>submission</w:t>
      </w:r>
      <w:r>
        <w:rPr>
          <w:spacing w:val="-5"/>
        </w:rPr>
        <w:t> </w:t>
      </w:r>
      <w:r>
        <w:rPr/>
        <w:t>from</w:t>
      </w:r>
      <w:r>
        <w:rPr>
          <w:spacing w:val="-3"/>
        </w:rPr>
        <w:t> </w:t>
      </w:r>
      <w:r>
        <w:rPr/>
        <w:t>DABC</w:t>
      </w:r>
      <w:r>
        <w:rPr>
          <w:spacing w:val="-6"/>
        </w:rPr>
        <w:t> </w:t>
      </w:r>
      <w:r>
        <w:rPr/>
        <w:t>in</w:t>
      </w:r>
      <w:r>
        <w:rPr>
          <w:spacing w:val="-4"/>
        </w:rPr>
        <w:t> </w:t>
      </w:r>
      <w:r>
        <w:rPr/>
        <w:t>response</w:t>
      </w:r>
      <w:r>
        <w:rPr>
          <w:spacing w:val="-4"/>
        </w:rPr>
        <w:t> </w:t>
      </w:r>
      <w:r>
        <w:rPr/>
        <w:t>to</w:t>
      </w:r>
      <w:r>
        <w:rPr>
          <w:spacing w:val="-4"/>
        </w:rPr>
        <w:t> </w:t>
      </w:r>
      <w:r>
        <w:rPr/>
        <w:t>the</w:t>
      </w:r>
      <w:r>
        <w:rPr>
          <w:spacing w:val="-5"/>
        </w:rPr>
        <w:t> </w:t>
      </w:r>
      <w:r>
        <w:rPr/>
        <w:t>draft legislative proposals released for consultation, specific to the proposed amendments</w:t>
      </w:r>
      <w:r>
        <w:rPr>
          <w:spacing w:val="-14"/>
        </w:rPr>
        <w:t> </w:t>
      </w:r>
      <w:r>
        <w:rPr/>
        <w:t>to</w:t>
      </w:r>
      <w:r>
        <w:rPr>
          <w:spacing w:val="-9"/>
        </w:rPr>
        <w:t> </w:t>
      </w:r>
      <w:r>
        <w:rPr/>
        <w:t>sections</w:t>
      </w:r>
      <w:r>
        <w:rPr>
          <w:spacing w:val="-8"/>
        </w:rPr>
        <w:t> </w:t>
      </w:r>
      <w:r>
        <w:rPr/>
        <w:t>118.3</w:t>
      </w:r>
      <w:r>
        <w:rPr>
          <w:spacing w:val="-9"/>
        </w:rPr>
        <w:t> </w:t>
      </w:r>
      <w:r>
        <w:rPr/>
        <w:t>and</w:t>
      </w:r>
      <w:r>
        <w:rPr>
          <w:spacing w:val="-9"/>
        </w:rPr>
        <w:t> </w:t>
      </w:r>
      <w:r>
        <w:rPr/>
        <w:t>118.4</w:t>
      </w:r>
      <w:r>
        <w:rPr>
          <w:spacing w:val="-13"/>
        </w:rPr>
        <w:t> </w:t>
      </w:r>
      <w:r>
        <w:rPr/>
        <w:t>of</w:t>
      </w:r>
      <w:r>
        <w:rPr>
          <w:spacing w:val="-11"/>
        </w:rPr>
        <w:t> </w:t>
      </w:r>
      <w:r>
        <w:rPr/>
        <w:t>the</w:t>
      </w:r>
      <w:r>
        <w:rPr>
          <w:spacing w:val="-10"/>
        </w:rPr>
        <w:t> </w:t>
      </w:r>
      <w:r>
        <w:rPr/>
        <w:t>Income</w:t>
      </w:r>
      <w:r>
        <w:rPr>
          <w:spacing w:val="-18"/>
        </w:rPr>
        <w:t> </w:t>
      </w:r>
      <w:r>
        <w:rPr/>
        <w:t>Tax</w:t>
      </w:r>
      <w:r>
        <w:rPr>
          <w:spacing w:val="-20"/>
        </w:rPr>
        <w:t> </w:t>
      </w:r>
      <w:r>
        <w:rPr/>
        <w:t>Act</w:t>
      </w:r>
      <w:r>
        <w:rPr>
          <w:spacing w:val="-6"/>
        </w:rPr>
        <w:t> </w:t>
      </w:r>
      <w:r>
        <w:rPr/>
        <w:t>concerning the Disability Tax Credit (DTC).</w:t>
      </w:r>
    </w:p>
    <w:p>
      <w:pPr>
        <w:pStyle w:val="BodyText"/>
        <w:spacing w:line="278" w:lineRule="auto" w:before="157"/>
        <w:ind w:right="459"/>
      </w:pPr>
      <w:r>
        <w:rPr/>
        <w:t>The Disabilty Tax Credit (DTC), a non-refundable tax credit initially designed</w:t>
      </w:r>
      <w:r>
        <w:rPr>
          <w:spacing w:val="-5"/>
        </w:rPr>
        <w:t> </w:t>
      </w:r>
      <w:r>
        <w:rPr/>
        <w:t>to</w:t>
      </w:r>
      <w:r>
        <w:rPr>
          <w:spacing w:val="-3"/>
        </w:rPr>
        <w:t> </w:t>
      </w:r>
      <w:r>
        <w:rPr/>
        <w:t>defray</w:t>
      </w:r>
      <w:r>
        <w:rPr>
          <w:spacing w:val="-4"/>
        </w:rPr>
        <w:t> </w:t>
      </w:r>
      <w:r>
        <w:rPr/>
        <w:t>medical</w:t>
      </w:r>
      <w:r>
        <w:rPr>
          <w:spacing w:val="-6"/>
        </w:rPr>
        <w:t> </w:t>
      </w:r>
      <w:r>
        <w:rPr/>
        <w:t>costs</w:t>
      </w:r>
      <w:r>
        <w:rPr>
          <w:spacing w:val="-3"/>
        </w:rPr>
        <w:t> </w:t>
      </w:r>
      <w:r>
        <w:rPr/>
        <w:t>incurred</w:t>
      </w:r>
      <w:r>
        <w:rPr>
          <w:spacing w:val="-4"/>
        </w:rPr>
        <w:t> </w:t>
      </w:r>
      <w:r>
        <w:rPr/>
        <w:t>by</w:t>
      </w:r>
      <w:r>
        <w:rPr>
          <w:spacing w:val="-4"/>
        </w:rPr>
        <w:t> </w:t>
      </w:r>
      <w:r>
        <w:rPr/>
        <w:t>people</w:t>
      </w:r>
      <w:r>
        <w:rPr>
          <w:spacing w:val="-4"/>
        </w:rPr>
        <w:t> </w:t>
      </w:r>
      <w:r>
        <w:rPr/>
        <w:t>with</w:t>
      </w:r>
      <w:r>
        <w:rPr>
          <w:spacing w:val="-4"/>
        </w:rPr>
        <w:t> </w:t>
      </w:r>
      <w:r>
        <w:rPr/>
        <w:t>disabilities</w:t>
      </w:r>
      <w:r>
        <w:rPr>
          <w:spacing w:val="-4"/>
        </w:rPr>
        <w:t> </w:t>
      </w:r>
      <w:r>
        <w:rPr/>
        <w:t>has become a crucial vehicle to accessing disability related tax benefits and other financial supports including the Child Disability Benefit, Canada</w:t>
      </w:r>
    </w:p>
    <w:p>
      <w:pPr>
        <w:pStyle w:val="BodyText"/>
        <w:spacing w:line="278" w:lineRule="auto" w:before="1"/>
      </w:pPr>
      <w:r>
        <w:rPr/>
        <w:t>Workers</w:t>
      </w:r>
      <w:r>
        <w:rPr>
          <w:spacing w:val="-4"/>
        </w:rPr>
        <w:t> </w:t>
      </w:r>
      <w:r>
        <w:rPr/>
        <w:t>Benefit,</w:t>
      </w:r>
      <w:r>
        <w:rPr>
          <w:spacing w:val="-7"/>
        </w:rPr>
        <w:t> </w:t>
      </w:r>
      <w:r>
        <w:rPr/>
        <w:t>Canada</w:t>
      </w:r>
      <w:r>
        <w:rPr>
          <w:spacing w:val="-5"/>
        </w:rPr>
        <w:t> </w:t>
      </w:r>
      <w:r>
        <w:rPr/>
        <w:t>Disabilty</w:t>
      </w:r>
      <w:r>
        <w:rPr>
          <w:spacing w:val="-4"/>
        </w:rPr>
        <w:t> </w:t>
      </w:r>
      <w:r>
        <w:rPr/>
        <w:t>Benefit,</w:t>
      </w:r>
      <w:r>
        <w:rPr>
          <w:spacing w:val="-2"/>
        </w:rPr>
        <w:t> </w:t>
      </w:r>
      <w:r>
        <w:rPr/>
        <w:t>and</w:t>
      </w:r>
      <w:r>
        <w:rPr>
          <w:spacing w:val="-5"/>
        </w:rPr>
        <w:t> </w:t>
      </w:r>
      <w:r>
        <w:rPr/>
        <w:t>Registered</w:t>
      </w:r>
      <w:r>
        <w:rPr>
          <w:spacing w:val="-6"/>
        </w:rPr>
        <w:t> </w:t>
      </w:r>
      <w:r>
        <w:rPr/>
        <w:t>Savings</w:t>
      </w:r>
      <w:r>
        <w:rPr>
          <w:spacing w:val="-4"/>
        </w:rPr>
        <w:t> </w:t>
      </w:r>
      <w:r>
        <w:rPr/>
        <w:t>Plan—making</w:t>
      </w:r>
      <w:r>
        <w:rPr>
          <w:spacing w:val="-4"/>
        </w:rPr>
        <w:t> </w:t>
      </w:r>
      <w:r>
        <w:rPr/>
        <w:t>the</w:t>
      </w:r>
      <w:r>
        <w:rPr>
          <w:spacing w:val="-4"/>
        </w:rPr>
        <w:t> </w:t>
      </w:r>
      <w:r>
        <w:rPr/>
        <w:t>credit</w:t>
      </w:r>
      <w:r>
        <w:rPr>
          <w:spacing w:val="-1"/>
        </w:rPr>
        <w:t> </w:t>
      </w:r>
      <w:r>
        <w:rPr/>
        <w:t>a</w:t>
      </w:r>
      <w:r>
        <w:rPr>
          <w:spacing w:val="-3"/>
        </w:rPr>
        <w:t> </w:t>
      </w:r>
      <w:r>
        <w:rPr/>
        <w:t>gateway</w:t>
      </w:r>
      <w:r>
        <w:rPr>
          <w:spacing w:val="-8"/>
        </w:rPr>
        <w:t> </w:t>
      </w:r>
      <w:r>
        <w:rPr/>
        <w:t>to thousands</w:t>
      </w:r>
      <w:r>
        <w:rPr>
          <w:spacing w:val="-2"/>
        </w:rPr>
        <w:t> </w:t>
      </w:r>
      <w:r>
        <w:rPr/>
        <w:t>of</w:t>
      </w:r>
      <w:r>
        <w:rPr>
          <w:spacing w:val="-1"/>
        </w:rPr>
        <w:t> </w:t>
      </w:r>
      <w:r>
        <w:rPr/>
        <w:t>dollars</w:t>
      </w:r>
      <w:r>
        <w:rPr>
          <w:spacing w:val="-2"/>
        </w:rPr>
        <w:t> </w:t>
      </w:r>
      <w:r>
        <w:rPr/>
        <w:t>that</w:t>
      </w:r>
      <w:r>
        <w:rPr>
          <w:spacing w:val="-5"/>
        </w:rPr>
        <w:t> </w:t>
      </w:r>
      <w:r>
        <w:rPr/>
        <w:t>would</w:t>
      </w:r>
      <w:r>
        <w:rPr>
          <w:spacing w:val="-3"/>
        </w:rPr>
        <w:t> </w:t>
      </w:r>
      <w:r>
        <w:rPr/>
        <w:t>help</w:t>
      </w:r>
      <w:r>
        <w:rPr>
          <w:spacing w:val="-3"/>
        </w:rPr>
        <w:t> </w:t>
      </w:r>
      <w:r>
        <w:rPr/>
        <w:t>people with</w:t>
      </w:r>
      <w:r>
        <w:rPr>
          <w:spacing w:val="-5"/>
        </w:rPr>
        <w:t> </w:t>
      </w:r>
      <w:r>
        <w:rPr/>
        <w:t>disabilities</w:t>
      </w:r>
      <w:r>
        <w:rPr>
          <w:spacing w:val="-2"/>
        </w:rPr>
        <w:t> </w:t>
      </w:r>
      <w:r>
        <w:rPr/>
        <w:t>both</w:t>
      </w:r>
      <w:r>
        <w:rPr>
          <w:spacing w:val="-5"/>
        </w:rPr>
        <w:t> </w:t>
      </w:r>
      <w:r>
        <w:rPr/>
        <w:t>with</w:t>
      </w:r>
      <w:r>
        <w:rPr>
          <w:spacing w:val="-5"/>
        </w:rPr>
        <w:t> </w:t>
      </w:r>
      <w:r>
        <w:rPr/>
        <w:t>their</w:t>
      </w:r>
      <w:r>
        <w:rPr>
          <w:spacing w:val="-3"/>
        </w:rPr>
        <w:t> </w:t>
      </w:r>
      <w:r>
        <w:rPr/>
        <w:t>immediate</w:t>
      </w:r>
      <w:r>
        <w:rPr>
          <w:spacing w:val="-1"/>
        </w:rPr>
        <w:t> </w:t>
      </w:r>
      <w:r>
        <w:rPr/>
        <w:t>and</w:t>
      </w:r>
      <w:r>
        <w:rPr>
          <w:spacing w:val="-5"/>
        </w:rPr>
        <w:t> </w:t>
      </w:r>
      <w:r>
        <w:rPr/>
        <w:t>future</w:t>
      </w:r>
      <w:r>
        <w:rPr>
          <w:spacing w:val="-9"/>
        </w:rPr>
        <w:t> </w:t>
      </w:r>
      <w:r>
        <w:rPr/>
        <w:t>needs. Still,</w:t>
      </w:r>
      <w:r>
        <w:rPr>
          <w:spacing w:val="-2"/>
        </w:rPr>
        <w:t> </w:t>
      </w:r>
      <w:r>
        <w:rPr/>
        <w:t>despite</w:t>
      </w:r>
      <w:r>
        <w:rPr>
          <w:spacing w:val="-5"/>
        </w:rPr>
        <w:t> </w:t>
      </w:r>
      <w:r>
        <w:rPr/>
        <w:t>its importance, many people with disabilities do not have the DTC due to myriad barriers (health, financial, and administrative) that inhibit access to the benefit.</w:t>
      </w:r>
    </w:p>
    <w:p>
      <w:pPr>
        <w:pStyle w:val="BodyText"/>
        <w:spacing w:line="278" w:lineRule="auto" w:before="155"/>
      </w:pPr>
      <w:r>
        <w:rPr/>
        <w:t>Disability</w:t>
      </w:r>
      <w:r>
        <w:rPr>
          <w:spacing w:val="-6"/>
        </w:rPr>
        <w:t> </w:t>
      </w:r>
      <w:r>
        <w:rPr/>
        <w:t>Alliance BC (DABC) is well positioned to provide our feedback to the proposed changes to the DTC. Since 1977, DABC has been a provincial,</w:t>
      </w:r>
      <w:r>
        <w:rPr>
          <w:spacing w:val="-4"/>
        </w:rPr>
        <w:t> </w:t>
      </w:r>
      <w:r>
        <w:rPr/>
        <w:t>cross-disability</w:t>
      </w:r>
      <w:r>
        <w:rPr>
          <w:spacing w:val="-5"/>
        </w:rPr>
        <w:t> </w:t>
      </w:r>
      <w:r>
        <w:rPr/>
        <w:t>non-profit</w:t>
      </w:r>
      <w:r>
        <w:rPr>
          <w:spacing w:val="-4"/>
        </w:rPr>
        <w:t> </w:t>
      </w:r>
      <w:r>
        <w:rPr/>
        <w:t>organization</w:t>
      </w:r>
      <w:r>
        <w:rPr>
          <w:spacing w:val="-7"/>
        </w:rPr>
        <w:t> </w:t>
      </w:r>
      <w:r>
        <w:rPr/>
        <w:t>and</w:t>
      </w:r>
      <w:r>
        <w:rPr>
          <w:spacing w:val="-6"/>
        </w:rPr>
        <w:t> </w:t>
      </w:r>
      <w:r>
        <w:rPr/>
        <w:t>registered</w:t>
      </w:r>
      <w:r>
        <w:rPr>
          <w:spacing w:val="-7"/>
        </w:rPr>
        <w:t> </w:t>
      </w:r>
      <w:r>
        <w:rPr/>
        <w:t>charity</w:t>
      </w:r>
      <w:r>
        <w:rPr>
          <w:spacing w:val="-5"/>
        </w:rPr>
        <w:t> </w:t>
      </w:r>
      <w:r>
        <w:rPr/>
        <w:t>that advocates</w:t>
      </w:r>
      <w:r>
        <w:rPr>
          <w:spacing w:val="-2"/>
        </w:rPr>
        <w:t> </w:t>
      </w:r>
      <w:r>
        <w:rPr/>
        <w:t>for</w:t>
      </w:r>
      <w:r>
        <w:rPr>
          <w:spacing w:val="-5"/>
        </w:rPr>
        <w:t> </w:t>
      </w:r>
      <w:r>
        <w:rPr/>
        <w:t>the</w:t>
      </w:r>
      <w:r>
        <w:rPr>
          <w:spacing w:val="-3"/>
        </w:rPr>
        <w:t> </w:t>
      </w:r>
      <w:r>
        <w:rPr/>
        <w:t>rights</w:t>
      </w:r>
      <w:r>
        <w:rPr>
          <w:spacing w:val="-1"/>
        </w:rPr>
        <w:t> </w:t>
      </w:r>
      <w:r>
        <w:rPr/>
        <w:t>of people</w:t>
      </w:r>
      <w:r>
        <w:rPr>
          <w:spacing w:val="-2"/>
        </w:rPr>
        <w:t> </w:t>
      </w:r>
      <w:r>
        <w:rPr/>
        <w:t>with</w:t>
      </w:r>
      <w:r>
        <w:rPr>
          <w:spacing w:val="-2"/>
        </w:rPr>
        <w:t> </w:t>
      </w:r>
      <w:r>
        <w:rPr/>
        <w:t>disabilities. Our</w:t>
      </w:r>
      <w:r>
        <w:rPr>
          <w:spacing w:val="-5"/>
        </w:rPr>
        <w:t> </w:t>
      </w:r>
      <w:r>
        <w:rPr/>
        <w:t>mission</w:t>
      </w:r>
      <w:r>
        <w:rPr>
          <w:spacing w:val="-3"/>
        </w:rPr>
        <w:t> </w:t>
      </w:r>
      <w:r>
        <w:rPr/>
        <w:t>is</w:t>
      </w:r>
      <w:r>
        <w:rPr>
          <w:spacing w:val="-1"/>
        </w:rPr>
        <w:t> </w:t>
      </w:r>
      <w:r>
        <w:rPr/>
        <w:t>to</w:t>
      </w:r>
      <w:r>
        <w:rPr>
          <w:spacing w:val="-2"/>
        </w:rPr>
        <w:t> </w:t>
      </w:r>
      <w:r>
        <w:rPr/>
        <w:t>support people, with all disabilities, to live with dignity, independence and as equal and full participants in the community.</w:t>
      </w:r>
    </w:p>
    <w:p>
      <w:pPr>
        <w:pStyle w:val="BodyText"/>
        <w:spacing w:line="276" w:lineRule="auto" w:before="160"/>
      </w:pPr>
      <w:r>
        <w:rPr/>
        <w:t>DABC</w:t>
      </w:r>
      <w:r>
        <w:rPr>
          <w:spacing w:val="-7"/>
        </w:rPr>
        <w:t> </w:t>
      </w:r>
      <w:r>
        <w:rPr/>
        <w:t>has</w:t>
      </w:r>
      <w:r>
        <w:rPr>
          <w:spacing w:val="-4"/>
        </w:rPr>
        <w:t> </w:t>
      </w:r>
      <w:r>
        <w:rPr/>
        <w:t>several</w:t>
      </w:r>
      <w:r>
        <w:rPr>
          <w:spacing w:val="-7"/>
        </w:rPr>
        <w:t> </w:t>
      </w:r>
      <w:r>
        <w:rPr/>
        <w:t>direct</w:t>
      </w:r>
      <w:r>
        <w:rPr>
          <w:spacing w:val="-3"/>
        </w:rPr>
        <w:t> </w:t>
      </w:r>
      <w:r>
        <w:rPr/>
        <w:t>service</w:t>
      </w:r>
      <w:r>
        <w:rPr>
          <w:spacing w:val="-5"/>
        </w:rPr>
        <w:t> </w:t>
      </w:r>
      <w:r>
        <w:rPr/>
        <w:t>programs</w:t>
      </w:r>
      <w:r>
        <w:rPr>
          <w:spacing w:val="-4"/>
        </w:rPr>
        <w:t> </w:t>
      </w:r>
      <w:r>
        <w:rPr/>
        <w:t>that</w:t>
      </w:r>
      <w:r>
        <w:rPr>
          <w:spacing w:val="-7"/>
        </w:rPr>
        <w:t> </w:t>
      </w:r>
      <w:r>
        <w:rPr/>
        <w:t>help</w:t>
      </w:r>
      <w:r>
        <w:rPr>
          <w:spacing w:val="-5"/>
        </w:rPr>
        <w:t> </w:t>
      </w:r>
      <w:r>
        <w:rPr/>
        <w:t>people</w:t>
      </w:r>
      <w:r>
        <w:rPr>
          <w:spacing w:val="-5"/>
        </w:rPr>
        <w:t> </w:t>
      </w:r>
      <w:r>
        <w:rPr/>
        <w:t>with</w:t>
      </w:r>
      <w:r>
        <w:rPr>
          <w:spacing w:val="-5"/>
        </w:rPr>
        <w:t> </w:t>
      </w:r>
      <w:r>
        <w:rPr/>
        <w:t>disabilities across British Columbia access critical benefits and services. Over the</w:t>
      </w:r>
    </w:p>
    <w:p>
      <w:pPr>
        <w:pStyle w:val="BodyText"/>
        <w:spacing w:after="0" w:line="276" w:lineRule="auto"/>
        <w:sectPr>
          <w:headerReference w:type="default" r:id="rId5"/>
          <w:type w:val="continuous"/>
          <w:pgSz w:w="12240" w:h="15840"/>
          <w:pgMar w:header="813" w:footer="0" w:top="1900" w:bottom="280" w:left="1440" w:right="1080"/>
          <w:pgNumType w:start="1"/>
        </w:sectPr>
      </w:pPr>
    </w:p>
    <w:p>
      <w:pPr>
        <w:pStyle w:val="BodyText"/>
        <w:spacing w:line="278" w:lineRule="auto" w:before="75"/>
      </w:pPr>
      <w:r>
        <w:rPr/>
        <w:t>years, DABC has helped thousands of people with disabilities every year navigate the DTC working one-on-one support through applications, renewals,</w:t>
      </w:r>
      <w:r>
        <w:rPr>
          <w:spacing w:val="-3"/>
        </w:rPr>
        <w:t> </w:t>
      </w:r>
      <w:r>
        <w:rPr/>
        <w:t>and</w:t>
      </w:r>
      <w:r>
        <w:rPr>
          <w:spacing w:val="-6"/>
        </w:rPr>
        <w:t> </w:t>
      </w:r>
      <w:r>
        <w:rPr/>
        <w:t>appeals.</w:t>
      </w:r>
      <w:r>
        <w:rPr>
          <w:spacing w:val="-8"/>
        </w:rPr>
        <w:t> </w:t>
      </w:r>
      <w:r>
        <w:rPr/>
        <w:t>Through</w:t>
      </w:r>
      <w:r>
        <w:rPr>
          <w:spacing w:val="-7"/>
        </w:rPr>
        <w:t> </w:t>
      </w:r>
      <w:r>
        <w:rPr/>
        <w:t>our</w:t>
      </w:r>
      <w:r>
        <w:rPr>
          <w:spacing w:val="-4"/>
        </w:rPr>
        <w:t> </w:t>
      </w:r>
      <w:r>
        <w:rPr/>
        <w:t>experience,</w:t>
      </w:r>
      <w:r>
        <w:rPr>
          <w:spacing w:val="-4"/>
        </w:rPr>
        <w:t> </w:t>
      </w:r>
      <w:r>
        <w:rPr/>
        <w:t>we</w:t>
      </w:r>
      <w:r>
        <w:rPr>
          <w:spacing w:val="-6"/>
        </w:rPr>
        <w:t> </w:t>
      </w:r>
      <w:r>
        <w:rPr/>
        <w:t>have</w:t>
      </w:r>
      <w:r>
        <w:rPr>
          <w:spacing w:val="-6"/>
        </w:rPr>
        <w:t> </w:t>
      </w:r>
      <w:r>
        <w:rPr/>
        <w:t>gained</w:t>
      </w:r>
      <w:r>
        <w:rPr>
          <w:spacing w:val="-6"/>
        </w:rPr>
        <w:t> </w:t>
      </w:r>
      <w:r>
        <w:rPr/>
        <w:t>in-depth knowledge of persistent legislative gaps related to the DTC and opportunities to improve its accessibility.</w:t>
      </w:r>
    </w:p>
    <w:p>
      <w:pPr>
        <w:pStyle w:val="BodyText"/>
        <w:spacing w:line="276" w:lineRule="auto" w:before="158"/>
      </w:pPr>
      <w:r>
        <w:rPr/>
        <w:t>DABC</w:t>
      </w:r>
      <w:r>
        <w:rPr>
          <w:spacing w:val="-6"/>
        </w:rPr>
        <w:t> </w:t>
      </w:r>
      <w:r>
        <w:rPr/>
        <w:t>was</w:t>
      </w:r>
      <w:r>
        <w:rPr>
          <w:spacing w:val="-4"/>
        </w:rPr>
        <w:t> </w:t>
      </w:r>
      <w:r>
        <w:rPr/>
        <w:t>pleased</w:t>
      </w:r>
      <w:r>
        <w:rPr>
          <w:spacing w:val="-5"/>
        </w:rPr>
        <w:t> </w:t>
      </w:r>
      <w:r>
        <w:rPr/>
        <w:t>to</w:t>
      </w:r>
      <w:r>
        <w:rPr>
          <w:spacing w:val="-4"/>
        </w:rPr>
        <w:t> </w:t>
      </w:r>
      <w:r>
        <w:rPr/>
        <w:t>see</w:t>
      </w:r>
      <w:r>
        <w:rPr>
          <w:spacing w:val="-5"/>
        </w:rPr>
        <w:t> </w:t>
      </w:r>
      <w:r>
        <w:rPr/>
        <w:t>a</w:t>
      </w:r>
      <w:r>
        <w:rPr>
          <w:spacing w:val="-4"/>
        </w:rPr>
        <w:t> </w:t>
      </w:r>
      <w:r>
        <w:rPr/>
        <w:t>number</w:t>
      </w:r>
      <w:r>
        <w:rPr>
          <w:spacing w:val="-2"/>
        </w:rPr>
        <w:t> </w:t>
      </w:r>
      <w:r>
        <w:rPr/>
        <w:t>of</w:t>
      </w:r>
      <w:r>
        <w:rPr>
          <w:spacing w:val="-2"/>
        </w:rPr>
        <w:t> </w:t>
      </w:r>
      <w:r>
        <w:rPr/>
        <w:t>positive changes</w:t>
      </w:r>
      <w:r>
        <w:rPr>
          <w:spacing w:val="-4"/>
        </w:rPr>
        <w:t> </w:t>
      </w:r>
      <w:r>
        <w:rPr/>
        <w:t>made</w:t>
      </w:r>
      <w:r>
        <w:rPr>
          <w:spacing w:val="-4"/>
        </w:rPr>
        <w:t> </w:t>
      </w:r>
      <w:r>
        <w:rPr/>
        <w:t>with</w:t>
      </w:r>
      <w:r>
        <w:rPr>
          <w:spacing w:val="-4"/>
        </w:rPr>
        <w:t> </w:t>
      </w:r>
      <w:r>
        <w:rPr/>
        <w:t>the proposed amendments, namely:</w:t>
      </w:r>
    </w:p>
    <w:p>
      <w:pPr>
        <w:pStyle w:val="ListParagraph"/>
        <w:numPr>
          <w:ilvl w:val="0"/>
          <w:numId w:val="1"/>
        </w:numPr>
        <w:tabs>
          <w:tab w:pos="721" w:val="left" w:leader="none"/>
        </w:tabs>
        <w:spacing w:line="276" w:lineRule="auto" w:before="161" w:after="0"/>
        <w:ind w:left="721" w:right="425" w:hanging="360"/>
        <w:jc w:val="left"/>
        <w:rPr>
          <w:sz w:val="28"/>
        </w:rPr>
      </w:pPr>
      <w:r>
        <w:rPr>
          <w:b/>
          <w:sz w:val="28"/>
        </w:rPr>
        <w:t>A streamlined application process for those with certain long-term</w:t>
      </w:r>
      <w:r>
        <w:rPr>
          <w:b/>
          <w:spacing w:val="-5"/>
          <w:sz w:val="28"/>
        </w:rPr>
        <w:t> </w:t>
      </w:r>
      <w:r>
        <w:rPr>
          <w:b/>
          <w:sz w:val="28"/>
        </w:rPr>
        <w:t>conditions</w:t>
      </w:r>
      <w:r>
        <w:rPr>
          <w:b/>
          <w:spacing w:val="-5"/>
          <w:sz w:val="28"/>
        </w:rPr>
        <w:t> </w:t>
      </w:r>
      <w:r>
        <w:rPr>
          <w:sz w:val="28"/>
        </w:rPr>
        <w:t>which</w:t>
      </w:r>
      <w:r>
        <w:rPr>
          <w:spacing w:val="-7"/>
          <w:sz w:val="28"/>
        </w:rPr>
        <w:t> </w:t>
      </w:r>
      <w:r>
        <w:rPr>
          <w:sz w:val="28"/>
        </w:rPr>
        <w:t>will</w:t>
      </w:r>
      <w:r>
        <w:rPr>
          <w:spacing w:val="-8"/>
          <w:sz w:val="28"/>
        </w:rPr>
        <w:t> </w:t>
      </w:r>
      <w:r>
        <w:rPr>
          <w:sz w:val="28"/>
        </w:rPr>
        <w:t>significantly</w:t>
      </w:r>
      <w:r>
        <w:rPr>
          <w:spacing w:val="-6"/>
          <w:sz w:val="28"/>
        </w:rPr>
        <w:t> </w:t>
      </w:r>
      <w:r>
        <w:rPr>
          <w:sz w:val="28"/>
        </w:rPr>
        <w:t>reduce</w:t>
      </w:r>
      <w:r>
        <w:rPr>
          <w:spacing w:val="-7"/>
          <w:sz w:val="28"/>
        </w:rPr>
        <w:t> </w:t>
      </w:r>
      <w:r>
        <w:rPr>
          <w:sz w:val="28"/>
        </w:rPr>
        <w:t>administrative</w:t>
      </w:r>
      <w:r>
        <w:rPr>
          <w:spacing w:val="-7"/>
          <w:sz w:val="28"/>
        </w:rPr>
        <w:t> </w:t>
      </w:r>
      <w:r>
        <w:rPr>
          <w:sz w:val="28"/>
        </w:rPr>
        <w:t>burden</w:t>
      </w:r>
    </w:p>
    <w:p>
      <w:pPr>
        <w:pStyle w:val="ListParagraph"/>
        <w:numPr>
          <w:ilvl w:val="0"/>
          <w:numId w:val="1"/>
        </w:numPr>
        <w:tabs>
          <w:tab w:pos="721" w:val="left" w:leader="none"/>
        </w:tabs>
        <w:spacing w:line="278" w:lineRule="auto" w:before="0" w:after="0"/>
        <w:ind w:left="721" w:right="406" w:hanging="360"/>
        <w:jc w:val="left"/>
        <w:rPr>
          <w:sz w:val="28"/>
        </w:rPr>
      </w:pPr>
      <w:r>
        <w:rPr>
          <w:b/>
          <w:sz w:val="28"/>
        </w:rPr>
        <w:t>An expanded list of medical professionals able to certify the DTC</w:t>
      </w:r>
      <w:r>
        <w:rPr>
          <w:sz w:val="28"/>
        </w:rPr>
        <w:t>, including physiotherapists being able to certify restrictions in feeding and dressing; speech-language pathologists being able to certify</w:t>
      </w:r>
      <w:r>
        <w:rPr>
          <w:spacing w:val="-5"/>
          <w:sz w:val="28"/>
        </w:rPr>
        <w:t> </w:t>
      </w:r>
      <w:r>
        <w:rPr>
          <w:sz w:val="28"/>
        </w:rPr>
        <w:t>restrictions</w:t>
      </w:r>
      <w:r>
        <w:rPr>
          <w:spacing w:val="-5"/>
          <w:sz w:val="28"/>
        </w:rPr>
        <w:t> </w:t>
      </w:r>
      <w:r>
        <w:rPr>
          <w:sz w:val="28"/>
        </w:rPr>
        <w:t>in</w:t>
      </w:r>
      <w:r>
        <w:rPr>
          <w:spacing w:val="-3"/>
          <w:sz w:val="28"/>
        </w:rPr>
        <w:t> </w:t>
      </w:r>
      <w:r>
        <w:rPr>
          <w:sz w:val="28"/>
        </w:rPr>
        <w:t>feeding</w:t>
      </w:r>
      <w:r>
        <w:rPr>
          <w:spacing w:val="-7"/>
          <w:sz w:val="28"/>
        </w:rPr>
        <w:t> </w:t>
      </w:r>
      <w:r>
        <w:rPr>
          <w:sz w:val="28"/>
        </w:rPr>
        <w:t>and</w:t>
      </w:r>
      <w:r>
        <w:rPr>
          <w:spacing w:val="-6"/>
          <w:sz w:val="28"/>
        </w:rPr>
        <w:t> </w:t>
      </w:r>
      <w:r>
        <w:rPr>
          <w:sz w:val="28"/>
        </w:rPr>
        <w:t>hearing;</w:t>
      </w:r>
      <w:r>
        <w:rPr>
          <w:spacing w:val="-2"/>
          <w:sz w:val="28"/>
        </w:rPr>
        <w:t> </w:t>
      </w:r>
      <w:r>
        <w:rPr>
          <w:sz w:val="28"/>
        </w:rPr>
        <w:t>and</w:t>
      </w:r>
      <w:r>
        <w:rPr>
          <w:spacing w:val="-6"/>
          <w:sz w:val="28"/>
        </w:rPr>
        <w:t> </w:t>
      </w:r>
      <w:r>
        <w:rPr>
          <w:sz w:val="28"/>
        </w:rPr>
        <w:t>occupational</w:t>
      </w:r>
      <w:r>
        <w:rPr>
          <w:spacing w:val="-8"/>
          <w:sz w:val="28"/>
        </w:rPr>
        <w:t> </w:t>
      </w:r>
      <w:r>
        <w:rPr>
          <w:sz w:val="28"/>
        </w:rPr>
        <w:t>therapists being able to certify eliminating (bowel or bladder functions); and podiatrists now able to certify walking</w:t>
      </w:r>
    </w:p>
    <w:p>
      <w:pPr>
        <w:pStyle w:val="ListParagraph"/>
        <w:numPr>
          <w:ilvl w:val="0"/>
          <w:numId w:val="1"/>
        </w:numPr>
        <w:tabs>
          <w:tab w:pos="721" w:val="left" w:leader="none"/>
        </w:tabs>
        <w:spacing w:line="278" w:lineRule="auto" w:before="0" w:after="0"/>
        <w:ind w:left="721" w:right="378" w:hanging="360"/>
        <w:jc w:val="left"/>
        <w:rPr>
          <w:sz w:val="28"/>
        </w:rPr>
      </w:pPr>
      <w:r>
        <w:rPr>
          <w:b/>
          <w:sz w:val="28"/>
        </w:rPr>
        <w:t>An</w:t>
      </w:r>
      <w:r>
        <w:rPr>
          <w:b/>
          <w:spacing w:val="-5"/>
          <w:sz w:val="28"/>
        </w:rPr>
        <w:t> </w:t>
      </w:r>
      <w:r>
        <w:rPr>
          <w:b/>
          <w:sz w:val="28"/>
        </w:rPr>
        <w:t>easier</w:t>
      </w:r>
      <w:r>
        <w:rPr>
          <w:b/>
          <w:spacing w:val="-3"/>
          <w:sz w:val="28"/>
        </w:rPr>
        <w:t> </w:t>
      </w:r>
      <w:r>
        <w:rPr>
          <w:b/>
          <w:sz w:val="28"/>
        </w:rPr>
        <w:t>application</w:t>
      </w:r>
      <w:r>
        <w:rPr>
          <w:b/>
          <w:spacing w:val="-5"/>
          <w:sz w:val="28"/>
        </w:rPr>
        <w:t> </w:t>
      </w:r>
      <w:r>
        <w:rPr>
          <w:b/>
          <w:sz w:val="28"/>
        </w:rPr>
        <w:t>pathway</w:t>
      </w:r>
      <w:r>
        <w:rPr>
          <w:b/>
          <w:spacing w:val="-9"/>
          <w:sz w:val="28"/>
        </w:rPr>
        <w:t> </w:t>
      </w:r>
      <w:r>
        <w:rPr>
          <w:b/>
          <w:sz w:val="28"/>
        </w:rPr>
        <w:t>for</w:t>
      </w:r>
      <w:r>
        <w:rPr>
          <w:b/>
          <w:spacing w:val="-3"/>
          <w:sz w:val="28"/>
        </w:rPr>
        <w:t> </w:t>
      </w:r>
      <w:r>
        <w:rPr>
          <w:b/>
          <w:sz w:val="28"/>
        </w:rPr>
        <w:t>adults</w:t>
      </w:r>
      <w:r>
        <w:rPr>
          <w:b/>
          <w:spacing w:val="-4"/>
          <w:sz w:val="28"/>
        </w:rPr>
        <w:t> </w:t>
      </w:r>
      <w:r>
        <w:rPr>
          <w:b/>
          <w:sz w:val="28"/>
        </w:rPr>
        <w:t>under</w:t>
      </w:r>
      <w:r>
        <w:rPr>
          <w:b/>
          <w:spacing w:val="-3"/>
          <w:sz w:val="28"/>
        </w:rPr>
        <w:t> </w:t>
      </w:r>
      <w:r>
        <w:rPr>
          <w:b/>
          <w:sz w:val="28"/>
        </w:rPr>
        <w:t>the</w:t>
      </w:r>
      <w:r>
        <w:rPr>
          <w:b/>
          <w:spacing w:val="-4"/>
          <w:sz w:val="28"/>
        </w:rPr>
        <w:t> </w:t>
      </w:r>
      <w:r>
        <w:rPr>
          <w:b/>
          <w:sz w:val="28"/>
        </w:rPr>
        <w:t>care</w:t>
      </w:r>
      <w:r>
        <w:rPr>
          <w:b/>
          <w:spacing w:val="-8"/>
          <w:sz w:val="28"/>
        </w:rPr>
        <w:t> </w:t>
      </w:r>
      <w:r>
        <w:rPr>
          <w:b/>
          <w:sz w:val="28"/>
        </w:rPr>
        <w:t>of</w:t>
      </w:r>
      <w:r>
        <w:rPr>
          <w:b/>
          <w:spacing w:val="-2"/>
          <w:sz w:val="28"/>
        </w:rPr>
        <w:t> </w:t>
      </w:r>
      <w:r>
        <w:rPr>
          <w:b/>
          <w:sz w:val="28"/>
        </w:rPr>
        <w:t>public guardians, trustees and curators </w:t>
      </w:r>
      <w:r>
        <w:rPr>
          <w:sz w:val="28"/>
        </w:rPr>
        <w:t>with a valid certificate of incapacity or equivalent document</w:t>
      </w:r>
    </w:p>
    <w:p>
      <w:pPr>
        <w:pStyle w:val="BodyText"/>
        <w:spacing w:line="278" w:lineRule="auto" w:before="150"/>
        <w:ind w:right="471"/>
      </w:pPr>
      <w:r>
        <w:rPr/>
        <w:t>While these changes are positive, they will not adequately remove administrative</w:t>
      </w:r>
      <w:r>
        <w:rPr>
          <w:spacing w:val="-6"/>
        </w:rPr>
        <w:t> </w:t>
      </w:r>
      <w:r>
        <w:rPr/>
        <w:t>burden,</w:t>
      </w:r>
      <w:r>
        <w:rPr>
          <w:spacing w:val="-5"/>
        </w:rPr>
        <w:t> </w:t>
      </w:r>
      <w:r>
        <w:rPr/>
        <w:t>particularly</w:t>
      </w:r>
      <w:r>
        <w:rPr>
          <w:spacing w:val="-5"/>
        </w:rPr>
        <w:t> </w:t>
      </w:r>
      <w:r>
        <w:rPr/>
        <w:t>for</w:t>
      </w:r>
      <w:r>
        <w:rPr>
          <w:spacing w:val="-9"/>
        </w:rPr>
        <w:t> </w:t>
      </w:r>
      <w:r>
        <w:rPr/>
        <w:t>those</w:t>
      </w:r>
      <w:r>
        <w:rPr>
          <w:spacing w:val="-6"/>
        </w:rPr>
        <w:t> </w:t>
      </w:r>
      <w:r>
        <w:rPr/>
        <w:t>with permanent</w:t>
      </w:r>
      <w:r>
        <w:rPr>
          <w:spacing w:val="-3"/>
        </w:rPr>
        <w:t> </w:t>
      </w:r>
      <w:r>
        <w:rPr/>
        <w:t>complex chronic conditions. This moment presents an opportunity to</w:t>
      </w:r>
      <w:r>
        <w:rPr>
          <w:spacing w:val="-2"/>
        </w:rPr>
        <w:t> </w:t>
      </w:r>
      <w:r>
        <w:rPr/>
        <w:t>address longstanding barriers to the DTC to ensure that the benefit can be accessed by all those entitled.</w:t>
      </w:r>
    </w:p>
    <w:p>
      <w:pPr>
        <w:pStyle w:val="Heading1"/>
      </w:pPr>
      <w:r>
        <w:rPr>
          <w:spacing w:val="-2"/>
        </w:rPr>
        <w:t>Recommendations</w:t>
      </w:r>
    </w:p>
    <w:p>
      <w:pPr>
        <w:pStyle w:val="Heading2"/>
        <w:spacing w:line="278" w:lineRule="auto" w:before="222"/>
        <w:ind w:right="471"/>
      </w:pPr>
      <w:r>
        <w:rPr/>
        <w:t>Recommendation</w:t>
      </w:r>
      <w:r>
        <w:rPr>
          <w:spacing w:val="-3"/>
        </w:rPr>
        <w:t> </w:t>
      </w:r>
      <w:r>
        <w:rPr/>
        <w:t>1:</w:t>
      </w:r>
      <w:r>
        <w:rPr>
          <w:spacing w:val="-3"/>
        </w:rPr>
        <w:t> </w:t>
      </w:r>
      <w:r>
        <w:rPr/>
        <w:t>Create</w:t>
      </w:r>
      <w:r>
        <w:rPr>
          <w:spacing w:val="-3"/>
        </w:rPr>
        <w:t> </w:t>
      </w:r>
      <w:r>
        <w:rPr/>
        <w:t>a</w:t>
      </w:r>
      <w:r>
        <w:rPr>
          <w:spacing w:val="-5"/>
        </w:rPr>
        <w:t> </w:t>
      </w:r>
      <w:r>
        <w:rPr/>
        <w:t>mechanism</w:t>
      </w:r>
      <w:r>
        <w:rPr>
          <w:spacing w:val="-2"/>
        </w:rPr>
        <w:t> </w:t>
      </w:r>
      <w:r>
        <w:rPr/>
        <w:t>to</w:t>
      </w:r>
      <w:r>
        <w:rPr>
          <w:spacing w:val="-6"/>
        </w:rPr>
        <w:t> </w:t>
      </w:r>
      <w:r>
        <w:rPr/>
        <w:t>review</w:t>
      </w:r>
      <w:r>
        <w:rPr>
          <w:spacing w:val="-2"/>
        </w:rPr>
        <w:t> </w:t>
      </w:r>
      <w:r>
        <w:rPr/>
        <w:t>and</w:t>
      </w:r>
      <w:r>
        <w:rPr>
          <w:spacing w:val="-6"/>
        </w:rPr>
        <w:t> </w:t>
      </w:r>
      <w:r>
        <w:rPr/>
        <w:t>expand</w:t>
      </w:r>
      <w:r>
        <w:rPr>
          <w:spacing w:val="-6"/>
        </w:rPr>
        <w:t> </w:t>
      </w:r>
      <w:r>
        <w:rPr/>
        <w:t>the list of conditions that receive streamlined application processes</w:t>
      </w:r>
    </w:p>
    <w:p>
      <w:pPr>
        <w:pStyle w:val="BodyText"/>
        <w:spacing w:line="276" w:lineRule="auto" w:before="163"/>
      </w:pPr>
      <w:r>
        <w:rPr/>
        <w:t>While</w:t>
      </w:r>
      <w:r>
        <w:rPr>
          <w:spacing w:val="-4"/>
        </w:rPr>
        <w:t> </w:t>
      </w:r>
      <w:r>
        <w:rPr/>
        <w:t>we</w:t>
      </w:r>
      <w:r>
        <w:rPr>
          <w:spacing w:val="-4"/>
        </w:rPr>
        <w:t> </w:t>
      </w:r>
      <w:r>
        <w:rPr/>
        <w:t>welcome</w:t>
      </w:r>
      <w:r>
        <w:rPr>
          <w:spacing w:val="-4"/>
        </w:rPr>
        <w:t> </w:t>
      </w:r>
      <w:r>
        <w:rPr/>
        <w:t>the</w:t>
      </w:r>
      <w:r>
        <w:rPr>
          <w:spacing w:val="-5"/>
        </w:rPr>
        <w:t> </w:t>
      </w:r>
      <w:r>
        <w:rPr/>
        <w:t>government’s</w:t>
      </w:r>
      <w:r>
        <w:rPr>
          <w:spacing w:val="-3"/>
        </w:rPr>
        <w:t> </w:t>
      </w:r>
      <w:r>
        <w:rPr/>
        <w:t>recognition</w:t>
      </w:r>
      <w:r>
        <w:rPr>
          <w:spacing w:val="-5"/>
        </w:rPr>
        <w:t> </w:t>
      </w:r>
      <w:r>
        <w:rPr/>
        <w:t>of</w:t>
      </w:r>
      <w:r>
        <w:rPr>
          <w:spacing w:val="-2"/>
        </w:rPr>
        <w:t> </w:t>
      </w:r>
      <w:r>
        <w:rPr/>
        <w:t>certain</w:t>
      </w:r>
      <w:r>
        <w:rPr>
          <w:spacing w:val="-4"/>
        </w:rPr>
        <w:t> </w:t>
      </w:r>
      <w:r>
        <w:rPr/>
        <w:t>conditions</w:t>
      </w:r>
      <w:r>
        <w:rPr>
          <w:spacing w:val="-3"/>
        </w:rPr>
        <w:t> </w:t>
      </w:r>
      <w:r>
        <w:rPr/>
        <w:t>that should</w:t>
      </w:r>
      <w:r>
        <w:rPr>
          <w:spacing w:val="-2"/>
        </w:rPr>
        <w:t> </w:t>
      </w:r>
      <w:r>
        <w:rPr/>
        <w:t>qualify</w:t>
      </w:r>
      <w:r>
        <w:rPr>
          <w:spacing w:val="-1"/>
        </w:rPr>
        <w:t> </w:t>
      </w:r>
      <w:r>
        <w:rPr/>
        <w:t>for</w:t>
      </w:r>
      <w:r>
        <w:rPr>
          <w:spacing w:val="-4"/>
        </w:rPr>
        <w:t> </w:t>
      </w:r>
      <w:r>
        <w:rPr/>
        <w:t>the</w:t>
      </w:r>
      <w:r>
        <w:rPr>
          <w:spacing w:val="-3"/>
        </w:rPr>
        <w:t> </w:t>
      </w:r>
      <w:r>
        <w:rPr/>
        <w:t>DTC,</w:t>
      </w:r>
      <w:r>
        <w:rPr>
          <w:spacing w:val="5"/>
        </w:rPr>
        <w:t> </w:t>
      </w:r>
      <w:r>
        <w:rPr/>
        <w:t>we</w:t>
      </w:r>
      <w:r>
        <w:rPr>
          <w:spacing w:val="-1"/>
        </w:rPr>
        <w:t> </w:t>
      </w:r>
      <w:r>
        <w:rPr/>
        <w:t>understand</w:t>
      </w:r>
      <w:r>
        <w:rPr>
          <w:spacing w:val="-2"/>
        </w:rPr>
        <w:t> </w:t>
      </w:r>
      <w:r>
        <w:rPr/>
        <w:t>that</w:t>
      </w:r>
      <w:r>
        <w:rPr>
          <w:spacing w:val="-3"/>
        </w:rPr>
        <w:t> </w:t>
      </w:r>
      <w:r>
        <w:rPr/>
        <w:t>these</w:t>
      </w:r>
      <w:r>
        <w:rPr>
          <w:spacing w:val="-2"/>
        </w:rPr>
        <w:t> </w:t>
      </w:r>
      <w:r>
        <w:rPr/>
        <w:t>lists</w:t>
      </w:r>
      <w:r>
        <w:rPr>
          <w:spacing w:val="-1"/>
        </w:rPr>
        <w:t> </w:t>
      </w:r>
      <w:r>
        <w:rPr/>
        <w:t>may</w:t>
      </w:r>
      <w:r>
        <w:rPr>
          <w:spacing w:val="-1"/>
        </w:rPr>
        <w:t> </w:t>
      </w:r>
      <w:r>
        <w:rPr/>
        <w:t>need</w:t>
      </w:r>
      <w:r>
        <w:rPr>
          <w:spacing w:val="-2"/>
        </w:rPr>
        <w:t> </w:t>
      </w:r>
      <w:r>
        <w:rPr/>
        <w:t>to</w:t>
      </w:r>
      <w:r>
        <w:rPr>
          <w:spacing w:val="-1"/>
        </w:rPr>
        <w:t> </w:t>
      </w:r>
      <w:r>
        <w:rPr>
          <w:spacing w:val="-5"/>
        </w:rPr>
        <w:t>be</w:t>
      </w:r>
    </w:p>
    <w:p>
      <w:pPr>
        <w:pStyle w:val="BodyText"/>
        <w:spacing w:after="0" w:line="276" w:lineRule="auto"/>
        <w:sectPr>
          <w:pgSz w:w="12240" w:h="15840"/>
          <w:pgMar w:header="813" w:footer="0" w:top="1900" w:bottom="280" w:left="1440" w:right="1080"/>
        </w:sectPr>
      </w:pPr>
    </w:p>
    <w:p>
      <w:pPr>
        <w:pStyle w:val="BodyText"/>
        <w:spacing w:line="278" w:lineRule="auto" w:before="75"/>
      </w:pPr>
      <w:r>
        <w:rPr/>
        <w:t>revisited to more adequately capture people with qualifying medical conditions.</w:t>
      </w:r>
      <w:r>
        <w:rPr>
          <w:spacing w:val="-4"/>
        </w:rPr>
        <w:t> </w:t>
      </w:r>
      <w:r>
        <w:rPr/>
        <w:t>We</w:t>
      </w:r>
      <w:r>
        <w:rPr>
          <w:spacing w:val="-7"/>
        </w:rPr>
        <w:t> </w:t>
      </w:r>
      <w:r>
        <w:rPr/>
        <w:t>recommend</w:t>
      </w:r>
      <w:r>
        <w:rPr>
          <w:spacing w:val="-7"/>
        </w:rPr>
        <w:t> </w:t>
      </w:r>
      <w:r>
        <w:rPr/>
        <w:t>that</w:t>
      </w:r>
      <w:r>
        <w:rPr>
          <w:spacing w:val="-4"/>
        </w:rPr>
        <w:t> </w:t>
      </w:r>
      <w:r>
        <w:rPr/>
        <w:t>the</w:t>
      </w:r>
      <w:r>
        <w:rPr>
          <w:spacing w:val="-12"/>
        </w:rPr>
        <w:t> </w:t>
      </w:r>
      <w:r>
        <w:rPr/>
        <w:t>government establish</w:t>
      </w:r>
      <w:r>
        <w:rPr>
          <w:spacing w:val="-6"/>
        </w:rPr>
        <w:t> </w:t>
      </w:r>
      <w:r>
        <w:rPr/>
        <w:t>a</w:t>
      </w:r>
      <w:r>
        <w:rPr>
          <w:spacing w:val="-7"/>
        </w:rPr>
        <w:t> </w:t>
      </w:r>
      <w:r>
        <w:rPr/>
        <w:t>transparent mechanism for reviewing and expanding the list of long-lasting medical conditions eligible for streamlined certification.</w:t>
      </w:r>
      <w:r>
        <w:rPr>
          <w:spacing w:val="-17"/>
        </w:rPr>
        <w:t> </w:t>
      </w:r>
      <w:r>
        <w:rPr/>
        <w:t>A</w:t>
      </w:r>
      <w:r>
        <w:rPr>
          <w:spacing w:val="-16"/>
        </w:rPr>
        <w:t> </w:t>
      </w:r>
      <w:r>
        <w:rPr/>
        <w:t>static list risks creating inequities as medical knowledge and diagnostic practices continue to</w:t>
      </w:r>
    </w:p>
    <w:p>
      <w:pPr>
        <w:pStyle w:val="BodyText"/>
        <w:spacing w:line="278" w:lineRule="auto"/>
      </w:pPr>
      <w:r>
        <w:rPr/>
        <w:t>evolve.</w:t>
      </w:r>
      <w:r>
        <w:rPr>
          <w:spacing w:val="-3"/>
        </w:rPr>
        <w:t> </w:t>
      </w:r>
      <w:r>
        <w:rPr/>
        <w:t>Conditions</w:t>
      </w:r>
      <w:r>
        <w:rPr>
          <w:spacing w:val="-5"/>
        </w:rPr>
        <w:t> </w:t>
      </w:r>
      <w:r>
        <w:rPr/>
        <w:t>that</w:t>
      </w:r>
      <w:r>
        <w:rPr>
          <w:spacing w:val="-3"/>
        </w:rPr>
        <w:t> </w:t>
      </w:r>
      <w:r>
        <w:rPr/>
        <w:t>are</w:t>
      </w:r>
      <w:r>
        <w:rPr>
          <w:spacing w:val="-10"/>
        </w:rPr>
        <w:t> </w:t>
      </w:r>
      <w:r>
        <w:rPr/>
        <w:t>rare,</w:t>
      </w:r>
      <w:r>
        <w:rPr>
          <w:spacing w:val="-8"/>
        </w:rPr>
        <w:t> </w:t>
      </w:r>
      <w:r>
        <w:rPr/>
        <w:t>underdiagnosed,</w:t>
      </w:r>
      <w:r>
        <w:rPr>
          <w:spacing w:val="-2"/>
        </w:rPr>
        <w:t> </w:t>
      </w:r>
      <w:r>
        <w:rPr/>
        <w:t>or</w:t>
      </w:r>
      <w:r>
        <w:rPr>
          <w:spacing w:val="-4"/>
        </w:rPr>
        <w:t> </w:t>
      </w:r>
      <w:r>
        <w:rPr/>
        <w:t>newly</w:t>
      </w:r>
      <w:r>
        <w:rPr>
          <w:spacing w:val="-4"/>
        </w:rPr>
        <w:t> </w:t>
      </w:r>
      <w:r>
        <w:rPr/>
        <w:t>recognized</w:t>
      </w:r>
      <w:r>
        <w:rPr>
          <w:spacing w:val="-6"/>
        </w:rPr>
        <w:t> </w:t>
      </w:r>
      <w:r>
        <w:rPr/>
        <w:t>may be overlooked. The government should establish published criteria for determining whether a condition</w:t>
      </w:r>
      <w:r>
        <w:rPr>
          <w:spacing w:val="-1"/>
        </w:rPr>
        <w:t> </w:t>
      </w:r>
      <w:r>
        <w:rPr/>
        <w:t>should qualify for streamlined certification. This process could also include an independent or multistakeholder advisory process to determine which disabilities gets added.</w:t>
      </w:r>
    </w:p>
    <w:p>
      <w:pPr>
        <w:pStyle w:val="Heading2"/>
        <w:spacing w:before="151"/>
        <w:ind w:right="0"/>
      </w:pPr>
      <w:r>
        <w:rPr/>
        <w:t>Recommendation</w:t>
      </w:r>
      <w:r>
        <w:rPr>
          <w:spacing w:val="-4"/>
        </w:rPr>
        <w:t> </w:t>
      </w:r>
      <w:r>
        <w:rPr/>
        <w:t>2:</w:t>
      </w:r>
      <w:r>
        <w:rPr>
          <w:spacing w:val="-14"/>
        </w:rPr>
        <w:t> </w:t>
      </w:r>
      <w:r>
        <w:rPr/>
        <w:t>Automatic</w:t>
      </w:r>
      <w:r>
        <w:rPr>
          <w:spacing w:val="-17"/>
        </w:rPr>
        <w:t> </w:t>
      </w:r>
      <w:r>
        <w:rPr/>
        <w:t>Approvals</w:t>
      </w:r>
      <w:r>
        <w:rPr>
          <w:spacing w:val="-3"/>
        </w:rPr>
        <w:t> </w:t>
      </w:r>
      <w:r>
        <w:rPr/>
        <w:t>for</w:t>
      </w:r>
      <w:r>
        <w:rPr>
          <w:spacing w:val="-2"/>
        </w:rPr>
        <w:t> </w:t>
      </w:r>
      <w:r>
        <w:rPr/>
        <w:t>Palliative</w:t>
      </w:r>
      <w:r>
        <w:rPr>
          <w:spacing w:val="-4"/>
        </w:rPr>
        <w:t> </w:t>
      </w:r>
      <w:r>
        <w:rPr>
          <w:spacing w:val="-2"/>
        </w:rPr>
        <w:t>Conditions:</w:t>
      </w:r>
    </w:p>
    <w:p>
      <w:pPr>
        <w:pStyle w:val="BodyText"/>
        <w:spacing w:line="278" w:lineRule="auto" w:before="213"/>
        <w:ind w:right="459"/>
      </w:pPr>
      <w:r>
        <w:rPr/>
        <w:t>In particular, there are many hardships that are endured with a palliative diagnosis, many of which are financial. People with palliative care conditions are</w:t>
      </w:r>
      <w:r>
        <w:rPr>
          <w:spacing w:val="-1"/>
        </w:rPr>
        <w:t> </w:t>
      </w:r>
      <w:r>
        <w:rPr/>
        <w:t>usually severely impacted by</w:t>
      </w:r>
      <w:r>
        <w:rPr>
          <w:spacing w:val="-1"/>
        </w:rPr>
        <w:t> </w:t>
      </w:r>
      <w:r>
        <w:rPr/>
        <w:t>their condition</w:t>
      </w:r>
      <w:r>
        <w:rPr>
          <w:spacing w:val="-2"/>
        </w:rPr>
        <w:t> </w:t>
      </w:r>
      <w:r>
        <w:rPr/>
        <w:t>or disability, to the</w:t>
      </w:r>
      <w:r>
        <w:rPr>
          <w:spacing w:val="-5"/>
        </w:rPr>
        <w:t> </w:t>
      </w:r>
      <w:r>
        <w:rPr/>
        <w:t>extent</w:t>
      </w:r>
      <w:r>
        <w:rPr>
          <w:spacing w:val="-6"/>
        </w:rPr>
        <w:t> </w:t>
      </w:r>
      <w:r>
        <w:rPr/>
        <w:t>that</w:t>
      </w:r>
      <w:r>
        <w:rPr>
          <w:spacing w:val="-6"/>
        </w:rPr>
        <w:t> </w:t>
      </w:r>
      <w:r>
        <w:rPr/>
        <w:t>it</w:t>
      </w:r>
      <w:r>
        <w:rPr>
          <w:spacing w:val="-1"/>
        </w:rPr>
        <w:t> </w:t>
      </w:r>
      <w:r>
        <w:rPr/>
        <w:t>ends</w:t>
      </w:r>
      <w:r>
        <w:rPr>
          <w:spacing w:val="-4"/>
        </w:rPr>
        <w:t> </w:t>
      </w:r>
      <w:r>
        <w:rPr/>
        <w:t>their</w:t>
      </w:r>
      <w:r>
        <w:rPr>
          <w:spacing w:val="-2"/>
        </w:rPr>
        <w:t> </w:t>
      </w:r>
      <w:r>
        <w:rPr/>
        <w:t>life.</w:t>
      </w:r>
      <w:r>
        <w:rPr>
          <w:spacing w:val="40"/>
        </w:rPr>
        <w:t> </w:t>
      </w:r>
      <w:r>
        <w:rPr/>
        <w:t>We</w:t>
      </w:r>
      <w:r>
        <w:rPr>
          <w:spacing w:val="-9"/>
        </w:rPr>
        <w:t> </w:t>
      </w:r>
      <w:r>
        <w:rPr/>
        <w:t>recommend</w:t>
      </w:r>
      <w:r>
        <w:rPr>
          <w:spacing w:val="-4"/>
        </w:rPr>
        <w:t> </w:t>
      </w:r>
      <w:r>
        <w:rPr/>
        <w:t>that</w:t>
      </w:r>
      <w:r>
        <w:rPr>
          <w:spacing w:val="-6"/>
        </w:rPr>
        <w:t> </w:t>
      </w:r>
      <w:r>
        <w:rPr/>
        <w:t>people</w:t>
      </w:r>
      <w:r>
        <w:rPr>
          <w:spacing w:val="-4"/>
        </w:rPr>
        <w:t> </w:t>
      </w:r>
      <w:r>
        <w:rPr/>
        <w:t>with</w:t>
      </w:r>
      <w:r>
        <w:rPr>
          <w:spacing w:val="-4"/>
        </w:rPr>
        <w:t> </w:t>
      </w:r>
      <w:r>
        <w:rPr/>
        <w:t>palliative conditions are automatically approved for the DTC, to eliminate the administrative burden that the application can create during end-of-life </w:t>
      </w:r>
      <w:r>
        <w:rPr>
          <w:spacing w:val="-2"/>
        </w:rPr>
        <w:t>care.</w:t>
      </w:r>
    </w:p>
    <w:p>
      <w:pPr>
        <w:pStyle w:val="Heading2"/>
        <w:spacing w:line="278" w:lineRule="auto"/>
      </w:pPr>
      <w:r>
        <w:rPr/>
        <w:t>Recommendation</w:t>
      </w:r>
      <w:r>
        <w:rPr>
          <w:spacing w:val="-3"/>
        </w:rPr>
        <w:t> </w:t>
      </w:r>
      <w:r>
        <w:rPr/>
        <w:t>3:</w:t>
      </w:r>
      <w:r>
        <w:rPr>
          <w:spacing w:val="-3"/>
        </w:rPr>
        <w:t> </w:t>
      </w:r>
      <w:r>
        <w:rPr/>
        <w:t>Further</w:t>
      </w:r>
      <w:r>
        <w:rPr>
          <w:spacing w:val="-4"/>
        </w:rPr>
        <w:t> </w:t>
      </w:r>
      <w:r>
        <w:rPr/>
        <w:t>expand</w:t>
      </w:r>
      <w:r>
        <w:rPr>
          <w:spacing w:val="-6"/>
        </w:rPr>
        <w:t> </w:t>
      </w:r>
      <w:r>
        <w:rPr/>
        <w:t>the</w:t>
      </w:r>
      <w:r>
        <w:rPr>
          <w:spacing w:val="-5"/>
        </w:rPr>
        <w:t> </w:t>
      </w:r>
      <w:r>
        <w:rPr/>
        <w:t>list</w:t>
      </w:r>
      <w:r>
        <w:rPr>
          <w:spacing w:val="-8"/>
        </w:rPr>
        <w:t> </w:t>
      </w:r>
      <w:r>
        <w:rPr/>
        <w:t>of</w:t>
      </w:r>
      <w:r>
        <w:rPr>
          <w:spacing w:val="-3"/>
        </w:rPr>
        <w:t> </w:t>
      </w:r>
      <w:r>
        <w:rPr/>
        <w:t>eligible</w:t>
      </w:r>
      <w:r>
        <w:rPr>
          <w:spacing w:val="-9"/>
        </w:rPr>
        <w:t> </w:t>
      </w:r>
      <w:r>
        <w:rPr/>
        <w:t>professionals who can sign the DTC</w:t>
      </w:r>
    </w:p>
    <w:p>
      <w:pPr>
        <w:pStyle w:val="BodyText"/>
        <w:spacing w:line="278" w:lineRule="auto" w:before="158"/>
        <w:ind w:right="401"/>
      </w:pPr>
      <w:r>
        <w:rPr/>
        <w:t>The CRA</w:t>
      </w:r>
      <w:r>
        <w:rPr>
          <w:spacing w:val="-9"/>
        </w:rPr>
        <w:t> </w:t>
      </w:r>
      <w:r>
        <w:rPr/>
        <w:t>has chosen to expand the list of eligible professionals who can sign</w:t>
      </w:r>
      <w:r>
        <w:rPr>
          <w:spacing w:val="-6"/>
        </w:rPr>
        <w:t> </w:t>
      </w:r>
      <w:r>
        <w:rPr/>
        <w:t>the</w:t>
      </w:r>
      <w:r>
        <w:rPr>
          <w:spacing w:val="-6"/>
        </w:rPr>
        <w:t> </w:t>
      </w:r>
      <w:r>
        <w:rPr/>
        <w:t>DTC,</w:t>
      </w:r>
      <w:r>
        <w:rPr>
          <w:spacing w:val="-2"/>
        </w:rPr>
        <w:t> </w:t>
      </w:r>
      <w:r>
        <w:rPr/>
        <w:t>which</w:t>
      </w:r>
      <w:r>
        <w:rPr>
          <w:spacing w:val="-5"/>
        </w:rPr>
        <w:t> </w:t>
      </w:r>
      <w:r>
        <w:rPr/>
        <w:t>is</w:t>
      </w:r>
      <w:r>
        <w:rPr>
          <w:spacing w:val="-4"/>
        </w:rPr>
        <w:t> </w:t>
      </w:r>
      <w:r>
        <w:rPr/>
        <w:t>a</w:t>
      </w:r>
      <w:r>
        <w:rPr>
          <w:spacing w:val="-5"/>
        </w:rPr>
        <w:t> </w:t>
      </w:r>
      <w:r>
        <w:rPr/>
        <w:t>step</w:t>
      </w:r>
      <w:r>
        <w:rPr>
          <w:spacing w:val="-6"/>
        </w:rPr>
        <w:t> </w:t>
      </w:r>
      <w:r>
        <w:rPr/>
        <w:t>in</w:t>
      </w:r>
      <w:r>
        <w:rPr>
          <w:spacing w:val="-5"/>
        </w:rPr>
        <w:t> </w:t>
      </w:r>
      <w:r>
        <w:rPr/>
        <w:t>the</w:t>
      </w:r>
      <w:r>
        <w:rPr>
          <w:spacing w:val="-6"/>
        </w:rPr>
        <w:t> </w:t>
      </w:r>
      <w:r>
        <w:rPr/>
        <w:t>right</w:t>
      </w:r>
      <w:r>
        <w:rPr>
          <w:spacing w:val="-7"/>
        </w:rPr>
        <w:t> </w:t>
      </w:r>
      <w:r>
        <w:rPr/>
        <w:t>direction.</w:t>
      </w:r>
      <w:r>
        <w:rPr>
          <w:spacing w:val="-2"/>
        </w:rPr>
        <w:t> </w:t>
      </w:r>
      <w:r>
        <w:rPr/>
        <w:t>However,</w:t>
      </w:r>
      <w:r>
        <w:rPr>
          <w:spacing w:val="-2"/>
        </w:rPr>
        <w:t> </w:t>
      </w:r>
      <w:r>
        <w:rPr/>
        <w:t>it</w:t>
      </w:r>
      <w:r>
        <w:rPr>
          <w:spacing w:val="-2"/>
        </w:rPr>
        <w:t> </w:t>
      </w:r>
      <w:r>
        <w:rPr/>
        <w:t>is</w:t>
      </w:r>
      <w:r>
        <w:rPr>
          <w:spacing w:val="-4"/>
        </w:rPr>
        <w:t> </w:t>
      </w:r>
      <w:r>
        <w:rPr/>
        <w:t>difficult</w:t>
      </w:r>
      <w:r>
        <w:rPr>
          <w:spacing w:val="-2"/>
        </w:rPr>
        <w:t> </w:t>
      </w:r>
      <w:r>
        <w:rPr/>
        <w:t>for many Canadians to access a general practitioner or a specialist. We believe a regulated health professional should be able to certify an impairment where that professional is authorized and competent under provincial or territorial law, to assess the</w:t>
      </w:r>
      <w:r>
        <w:rPr>
          <w:spacing w:val="-1"/>
        </w:rPr>
        <w:t> </w:t>
      </w:r>
      <w:r>
        <w:rPr/>
        <w:t>relevant functional limitation.</w:t>
      </w:r>
    </w:p>
    <w:p>
      <w:pPr>
        <w:pStyle w:val="BodyText"/>
        <w:spacing w:line="278" w:lineRule="auto"/>
        <w:ind w:right="0"/>
      </w:pPr>
      <w:r>
        <w:rPr/>
        <w:t>Further,</w:t>
      </w:r>
      <w:r>
        <w:rPr>
          <w:spacing w:val="-3"/>
        </w:rPr>
        <w:t> </w:t>
      </w:r>
      <w:r>
        <w:rPr/>
        <w:t>we</w:t>
      </w:r>
      <w:r>
        <w:rPr>
          <w:spacing w:val="-5"/>
        </w:rPr>
        <w:t> </w:t>
      </w:r>
      <w:r>
        <w:rPr/>
        <w:t>echo</w:t>
      </w:r>
      <w:r>
        <w:rPr>
          <w:spacing w:val="-5"/>
        </w:rPr>
        <w:t> </w:t>
      </w:r>
      <w:r>
        <w:rPr/>
        <w:t>calls</w:t>
      </w:r>
      <w:r>
        <w:rPr>
          <w:spacing w:val="-4"/>
        </w:rPr>
        <w:t> </w:t>
      </w:r>
      <w:r>
        <w:rPr/>
        <w:t>from</w:t>
      </w:r>
      <w:r>
        <w:rPr>
          <w:spacing w:val="-8"/>
        </w:rPr>
        <w:t> </w:t>
      </w:r>
      <w:r>
        <w:rPr/>
        <w:t>the</w:t>
      </w:r>
      <w:r>
        <w:rPr>
          <w:spacing w:val="-3"/>
        </w:rPr>
        <w:t> </w:t>
      </w:r>
      <w:hyperlink r:id="rId6">
        <w:r>
          <w:rPr>
            <w:color w:val="467885"/>
            <w:u w:val="single" w:color="467885"/>
          </w:rPr>
          <w:t>Disability</w:t>
        </w:r>
        <w:r>
          <w:rPr>
            <w:color w:val="467885"/>
            <w:spacing w:val="-18"/>
            <w:u w:val="single" w:color="467885"/>
          </w:rPr>
          <w:t> </w:t>
        </w:r>
        <w:r>
          <w:rPr>
            <w:color w:val="467885"/>
            <w:u w:val="single" w:color="467885"/>
          </w:rPr>
          <w:t>Advisory</w:t>
        </w:r>
        <w:r>
          <w:rPr>
            <w:color w:val="467885"/>
            <w:spacing w:val="-4"/>
            <w:u w:val="single" w:color="467885"/>
          </w:rPr>
          <w:t> </w:t>
        </w:r>
        <w:r>
          <w:rPr>
            <w:color w:val="467885"/>
            <w:u w:val="single" w:color="467885"/>
          </w:rPr>
          <w:t>Committee</w:t>
        </w:r>
      </w:hyperlink>
      <w:hyperlink w:history="true" w:anchor="_bookmark0">
        <w:r>
          <w:rPr>
            <w:u w:val="none"/>
            <w:vertAlign w:val="superscript"/>
          </w:rPr>
          <w:t>1</w:t>
        </w:r>
      </w:hyperlink>
      <w:r>
        <w:rPr>
          <w:spacing w:val="-4"/>
          <w:u w:val="none"/>
          <w:vertAlign w:val="baseline"/>
        </w:rPr>
        <w:t> </w:t>
      </w:r>
      <w:r>
        <w:rPr>
          <w:u w:val="none"/>
          <w:vertAlign w:val="baseline"/>
        </w:rPr>
        <w:t>that</w:t>
      </w:r>
      <w:r>
        <w:rPr>
          <w:spacing w:val="-7"/>
          <w:u w:val="none"/>
          <w:vertAlign w:val="baseline"/>
        </w:rPr>
        <w:t> </w:t>
      </w:r>
      <w:r>
        <w:rPr>
          <w:u w:val="none"/>
          <w:vertAlign w:val="baseline"/>
        </w:rPr>
        <w:t>the</w:t>
      </w:r>
      <w:r>
        <w:rPr>
          <w:spacing w:val="-6"/>
          <w:u w:val="none"/>
          <w:vertAlign w:val="baseline"/>
        </w:rPr>
        <w:t> </w:t>
      </w:r>
      <w:r>
        <w:rPr>
          <w:u w:val="none"/>
          <w:vertAlign w:val="baseline"/>
        </w:rPr>
        <w:t>CRA expand the list of health professionals with appropriate expertise.</w:t>
      </w:r>
    </w:p>
    <w:p>
      <w:pPr>
        <w:pStyle w:val="BodyText"/>
        <w:ind w:right="0"/>
        <w:rPr>
          <w:sz w:val="20"/>
        </w:rPr>
      </w:pPr>
    </w:p>
    <w:p>
      <w:pPr>
        <w:pStyle w:val="BodyText"/>
        <w:spacing w:before="212"/>
        <w:ind w:right="0"/>
        <w:rPr>
          <w:sz w:val="20"/>
        </w:rPr>
      </w:pPr>
      <w:r>
        <w:rPr>
          <w:sz w:val="20"/>
        </w:rPr>
        <mc:AlternateContent>
          <mc:Choice Requires="wps">
            <w:drawing>
              <wp:anchor distT="0" distB="0" distL="0" distR="0" allowOverlap="1" layoutInCell="1" locked="0" behindDoc="1" simplePos="0" relativeHeight="487587840">
                <wp:simplePos x="0" y="0"/>
                <wp:positionH relativeFrom="page">
                  <wp:posOffset>914717</wp:posOffset>
                </wp:positionH>
                <wp:positionV relativeFrom="paragraph">
                  <wp:posOffset>296204</wp:posOffset>
                </wp:positionV>
                <wp:extent cx="1830070" cy="635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5002pt;margin-top:23.323164pt;width:144.080pt;height:.5pt;mso-position-horizontal-relative:page;mso-position-vertical-relative:paragraph;z-index:-15728640;mso-wrap-distance-left:0;mso-wrap-distance-right:0" id="docshape1" filled="true" fillcolor="#000000" stroked="false">
                <v:fill type="solid"/>
                <w10:wrap type="topAndBottom"/>
              </v:rect>
            </w:pict>
          </mc:Fallback>
        </mc:AlternateContent>
      </w:r>
    </w:p>
    <w:p>
      <w:pPr>
        <w:spacing w:before="144"/>
        <w:ind w:left="0" w:right="1030" w:firstLine="0"/>
        <w:jc w:val="left"/>
        <w:rPr>
          <w:rFonts w:ascii="Calibri"/>
          <w:sz w:val="20"/>
        </w:rPr>
      </w:pPr>
      <w:bookmarkStart w:name="_bookmark0" w:id="1"/>
      <w:bookmarkEnd w:id="1"/>
      <w:r>
        <w:rPr/>
      </w:r>
      <w:r>
        <w:rPr>
          <w:rFonts w:ascii="Calibri"/>
          <w:spacing w:val="-2"/>
          <w:w w:val="105"/>
          <w:position w:val="7"/>
          <w:sz w:val="12"/>
        </w:rPr>
        <w:t>1</w:t>
      </w:r>
      <w:r>
        <w:rPr>
          <w:rFonts w:ascii="Calibri"/>
          <w:spacing w:val="-2"/>
          <w:w w:val="105"/>
          <w:position w:val="7"/>
          <w:sz w:val="12"/>
        </w:rPr>
        <w:t> </w:t>
      </w:r>
      <w:hyperlink r:id="rId7">
        <w:r>
          <w:rPr>
            <w:rFonts w:ascii="Calibri"/>
            <w:spacing w:val="-2"/>
            <w:w w:val="105"/>
            <w:sz w:val="20"/>
          </w:rPr>
          <w:t>https://www.canada.ca/en/revenue-agency/corporate/about-canada-revenue-agency-cra/disability-</w:t>
        </w:r>
      </w:hyperlink>
      <w:r>
        <w:rPr>
          <w:rFonts w:ascii="Calibri"/>
          <w:spacing w:val="-2"/>
          <w:w w:val="105"/>
          <w:sz w:val="20"/>
        </w:rPr>
        <w:t>advisory-committee/2024-full-report.html#toc9</w:t>
      </w:r>
    </w:p>
    <w:p>
      <w:pPr>
        <w:spacing w:after="0"/>
        <w:jc w:val="left"/>
        <w:rPr>
          <w:rFonts w:ascii="Calibri"/>
          <w:sz w:val="20"/>
        </w:rPr>
        <w:sectPr>
          <w:pgSz w:w="12240" w:h="15840"/>
          <w:pgMar w:header="813" w:footer="0" w:top="1900" w:bottom="280" w:left="1440" w:right="1080"/>
        </w:sectPr>
      </w:pPr>
    </w:p>
    <w:p>
      <w:pPr>
        <w:pStyle w:val="BodyText"/>
        <w:spacing w:before="263"/>
        <w:ind w:right="0"/>
        <w:rPr>
          <w:rFonts w:ascii="Calibri"/>
        </w:rPr>
      </w:pPr>
    </w:p>
    <w:p>
      <w:pPr>
        <w:pStyle w:val="BodyText"/>
        <w:spacing w:line="278" w:lineRule="auto"/>
        <w:ind w:right="0"/>
      </w:pPr>
      <w:r>
        <w:rPr/>
        <w:t>To</w:t>
      </w:r>
      <w:r>
        <w:rPr>
          <w:spacing w:val="-7"/>
        </w:rPr>
        <w:t> </w:t>
      </w:r>
      <w:r>
        <w:rPr/>
        <w:t>further</w:t>
      </w:r>
      <w:r>
        <w:rPr>
          <w:spacing w:val="-9"/>
        </w:rPr>
        <w:t> </w:t>
      </w:r>
      <w:r>
        <w:rPr/>
        <w:t>reduce</w:t>
      </w:r>
      <w:r>
        <w:rPr>
          <w:spacing w:val="-12"/>
        </w:rPr>
        <w:t> </w:t>
      </w:r>
      <w:r>
        <w:rPr/>
        <w:t>the</w:t>
      </w:r>
      <w:r>
        <w:rPr>
          <w:spacing w:val="-8"/>
        </w:rPr>
        <w:t> </w:t>
      </w:r>
      <w:r>
        <w:rPr/>
        <w:t>administrative</w:t>
      </w:r>
      <w:r>
        <w:rPr>
          <w:spacing w:val="-7"/>
        </w:rPr>
        <w:t> </w:t>
      </w:r>
      <w:r>
        <w:rPr/>
        <w:t>burden</w:t>
      </w:r>
      <w:r>
        <w:rPr>
          <w:spacing w:val="-8"/>
        </w:rPr>
        <w:t> </w:t>
      </w:r>
      <w:r>
        <w:rPr/>
        <w:t>on</w:t>
      </w:r>
      <w:r>
        <w:rPr>
          <w:spacing w:val="-8"/>
        </w:rPr>
        <w:t> </w:t>
      </w:r>
      <w:r>
        <w:rPr/>
        <w:t>medical</w:t>
      </w:r>
      <w:r>
        <w:rPr>
          <w:spacing w:val="-9"/>
        </w:rPr>
        <w:t> </w:t>
      </w:r>
      <w:r>
        <w:rPr/>
        <w:t>practitioners,</w:t>
      </w:r>
      <w:r>
        <w:rPr>
          <w:spacing w:val="-4"/>
        </w:rPr>
        <w:t> </w:t>
      </w:r>
      <w:r>
        <w:rPr/>
        <w:t>and</w:t>
      </w:r>
      <w:r>
        <w:rPr>
          <w:spacing w:val="-7"/>
        </w:rPr>
        <w:t> </w:t>
      </w:r>
      <w:r>
        <w:rPr/>
        <w:t>to restore greater agency for people with disabilities, we recommend that the legislative changes work in concert with efforts to reform the DTC</w:t>
      </w:r>
    </w:p>
    <w:p>
      <w:pPr>
        <w:pStyle w:val="BodyText"/>
        <w:spacing w:line="278" w:lineRule="auto"/>
      </w:pPr>
      <w:r>
        <w:rPr/>
        <w:t>application</w:t>
      </w:r>
      <w:r>
        <w:rPr>
          <w:spacing w:val="-6"/>
        </w:rPr>
        <w:t> </w:t>
      </w:r>
      <w:r>
        <w:rPr/>
        <w:t>process.</w:t>
      </w:r>
      <w:r>
        <w:rPr>
          <w:spacing w:val="-20"/>
        </w:rPr>
        <w:t> </w:t>
      </w:r>
      <w:r>
        <w:rPr/>
        <w:t>Applicants</w:t>
      </w:r>
      <w:r>
        <w:rPr>
          <w:spacing w:val="-3"/>
        </w:rPr>
        <w:t> </w:t>
      </w:r>
      <w:r>
        <w:rPr/>
        <w:t>should</w:t>
      </w:r>
      <w:r>
        <w:rPr>
          <w:spacing w:val="-4"/>
        </w:rPr>
        <w:t> </w:t>
      </w:r>
      <w:r>
        <w:rPr/>
        <w:t>be</w:t>
      </w:r>
      <w:r>
        <w:rPr>
          <w:spacing w:val="-4"/>
        </w:rPr>
        <w:t> </w:t>
      </w:r>
      <w:r>
        <w:rPr/>
        <w:t>permitted</w:t>
      </w:r>
      <w:r>
        <w:rPr>
          <w:spacing w:val="-10"/>
        </w:rPr>
        <w:t> </w:t>
      </w:r>
      <w:r>
        <w:rPr/>
        <w:t>to</w:t>
      </w:r>
      <w:r>
        <w:rPr>
          <w:spacing w:val="-4"/>
        </w:rPr>
        <w:t> </w:t>
      </w:r>
      <w:r>
        <w:rPr/>
        <w:t>complete</w:t>
      </w:r>
      <w:r>
        <w:rPr>
          <w:spacing w:val="-9"/>
        </w:rPr>
        <w:t> </w:t>
      </w:r>
      <w:r>
        <w:rPr/>
        <w:t>their</w:t>
      </w:r>
      <w:r>
        <w:rPr>
          <w:spacing w:val="-2"/>
        </w:rPr>
        <w:t> </w:t>
      </w:r>
      <w:r>
        <w:rPr/>
        <w:t>own applications, with medical practitioners responsible for reviewing and certifying</w:t>
      </w:r>
      <w:r>
        <w:rPr>
          <w:spacing w:val="-4"/>
        </w:rPr>
        <w:t> </w:t>
      </w:r>
      <w:r>
        <w:rPr/>
        <w:t>the</w:t>
      </w:r>
      <w:r>
        <w:rPr>
          <w:spacing w:val="-4"/>
        </w:rPr>
        <w:t> </w:t>
      </w:r>
      <w:r>
        <w:rPr/>
        <w:t>information</w:t>
      </w:r>
      <w:r>
        <w:rPr>
          <w:spacing w:val="-4"/>
        </w:rPr>
        <w:t> </w:t>
      </w:r>
      <w:r>
        <w:rPr/>
        <w:t>provided,</w:t>
      </w:r>
      <w:r>
        <w:rPr>
          <w:spacing w:val="-2"/>
        </w:rPr>
        <w:t> </w:t>
      </w:r>
      <w:r>
        <w:rPr/>
        <w:t>rather</w:t>
      </w:r>
      <w:r>
        <w:rPr>
          <w:spacing w:val="-6"/>
        </w:rPr>
        <w:t> </w:t>
      </w:r>
      <w:r>
        <w:rPr/>
        <w:t>than</w:t>
      </w:r>
      <w:r>
        <w:rPr>
          <w:spacing w:val="-3"/>
        </w:rPr>
        <w:t> </w:t>
      </w:r>
      <w:r>
        <w:rPr/>
        <w:t>completing</w:t>
      </w:r>
      <w:r>
        <w:rPr>
          <w:spacing w:val="-4"/>
        </w:rPr>
        <w:t> </w:t>
      </w:r>
      <w:r>
        <w:rPr/>
        <w:t>applications</w:t>
      </w:r>
      <w:r>
        <w:rPr>
          <w:spacing w:val="-3"/>
        </w:rPr>
        <w:t> </w:t>
      </w:r>
      <w:r>
        <w:rPr/>
        <w:t>on behalf of their patients.</w:t>
      </w:r>
    </w:p>
    <w:p>
      <w:pPr>
        <w:pStyle w:val="Heading2"/>
        <w:spacing w:line="278" w:lineRule="auto"/>
      </w:pPr>
      <w:r>
        <w:rPr/>
        <w:t>Recommendation</w:t>
      </w:r>
      <w:r>
        <w:rPr>
          <w:spacing w:val="-9"/>
        </w:rPr>
        <w:t> </w:t>
      </w:r>
      <w:r>
        <w:rPr/>
        <w:t>4:</w:t>
      </w:r>
      <w:r>
        <w:rPr>
          <w:spacing w:val="-4"/>
        </w:rPr>
        <w:t> </w:t>
      </w:r>
      <w:r>
        <w:rPr/>
        <w:t>Further</w:t>
      </w:r>
      <w:r>
        <w:rPr>
          <w:spacing w:val="-7"/>
        </w:rPr>
        <w:t> </w:t>
      </w:r>
      <w:r>
        <w:rPr/>
        <w:t>Harmonize</w:t>
      </w:r>
      <w:r>
        <w:rPr>
          <w:spacing w:val="-8"/>
        </w:rPr>
        <w:t> </w:t>
      </w:r>
      <w:r>
        <w:rPr/>
        <w:t>Federal</w:t>
      </w:r>
      <w:r>
        <w:rPr>
          <w:spacing w:val="-6"/>
        </w:rPr>
        <w:t> </w:t>
      </w:r>
      <w:r>
        <w:rPr/>
        <w:t>and</w:t>
      </w:r>
      <w:r>
        <w:rPr>
          <w:spacing w:val="-9"/>
        </w:rPr>
        <w:t> </w:t>
      </w:r>
      <w:r>
        <w:rPr/>
        <w:t>Provincial Disability Benefit Applications</w:t>
      </w:r>
    </w:p>
    <w:p>
      <w:pPr>
        <w:pStyle w:val="BodyText"/>
        <w:spacing w:line="278" w:lineRule="auto" w:before="158"/>
      </w:pPr>
      <w:r>
        <w:rPr/>
        <w:t>While</w:t>
      </w:r>
      <w:r>
        <w:rPr>
          <w:spacing w:val="-5"/>
        </w:rPr>
        <w:t> </w:t>
      </w:r>
      <w:r>
        <w:rPr/>
        <w:t>we</w:t>
      </w:r>
      <w:r>
        <w:rPr>
          <w:spacing w:val="-5"/>
        </w:rPr>
        <w:t> </w:t>
      </w:r>
      <w:r>
        <w:rPr/>
        <w:t>are</w:t>
      </w:r>
      <w:r>
        <w:rPr>
          <w:spacing w:val="-5"/>
        </w:rPr>
        <w:t> </w:t>
      </w:r>
      <w:r>
        <w:rPr/>
        <w:t>pleased</w:t>
      </w:r>
      <w:r>
        <w:rPr>
          <w:spacing w:val="-6"/>
        </w:rPr>
        <w:t> </w:t>
      </w:r>
      <w:r>
        <w:rPr/>
        <w:t>to</w:t>
      </w:r>
      <w:r>
        <w:rPr>
          <w:spacing w:val="-5"/>
        </w:rPr>
        <w:t> </w:t>
      </w:r>
      <w:r>
        <w:rPr/>
        <w:t>see</w:t>
      </w:r>
      <w:r>
        <w:rPr>
          <w:spacing w:val="-6"/>
        </w:rPr>
        <w:t> </w:t>
      </w:r>
      <w:r>
        <w:rPr/>
        <w:t>that</w:t>
      </w:r>
      <w:r>
        <w:rPr>
          <w:spacing w:val="-2"/>
        </w:rPr>
        <w:t> </w:t>
      </w:r>
      <w:r>
        <w:rPr/>
        <w:t>those</w:t>
      </w:r>
      <w:r>
        <w:rPr>
          <w:spacing w:val="-5"/>
        </w:rPr>
        <w:t> </w:t>
      </w:r>
      <w:r>
        <w:rPr/>
        <w:t>under</w:t>
      </w:r>
      <w:r>
        <w:rPr>
          <w:spacing w:val="-4"/>
        </w:rPr>
        <w:t> </w:t>
      </w:r>
      <w:r>
        <w:rPr/>
        <w:t>public</w:t>
      </w:r>
      <w:r>
        <w:rPr>
          <w:spacing w:val="-4"/>
        </w:rPr>
        <w:t> </w:t>
      </w:r>
      <w:r>
        <w:rPr/>
        <w:t>guardianship</w:t>
      </w:r>
      <w:r>
        <w:rPr>
          <w:spacing w:val="-5"/>
        </w:rPr>
        <w:t> </w:t>
      </w:r>
      <w:r>
        <w:rPr/>
        <w:t>and trusteeship will not need to reprove their eligibility to the DTC, we</w:t>
      </w:r>
    </w:p>
    <w:p>
      <w:pPr>
        <w:pStyle w:val="BodyText"/>
        <w:spacing w:line="278" w:lineRule="auto" w:before="3"/>
        <w:ind w:right="459"/>
      </w:pPr>
      <w:r>
        <w:rPr/>
        <w:t>recommend that the government move towards creating greater pathways between the DTC and other disability designations. For example, many people</w:t>
      </w:r>
      <w:r>
        <w:rPr>
          <w:spacing w:val="-5"/>
        </w:rPr>
        <w:t> </w:t>
      </w:r>
      <w:r>
        <w:rPr/>
        <w:t>with</w:t>
      </w:r>
      <w:r>
        <w:rPr>
          <w:spacing w:val="-5"/>
        </w:rPr>
        <w:t> </w:t>
      </w:r>
      <w:r>
        <w:rPr/>
        <w:t>disabilities</w:t>
      </w:r>
      <w:r>
        <w:rPr>
          <w:spacing w:val="-5"/>
        </w:rPr>
        <w:t> </w:t>
      </w:r>
      <w:r>
        <w:rPr/>
        <w:t>already</w:t>
      </w:r>
      <w:r>
        <w:rPr>
          <w:spacing w:val="-5"/>
        </w:rPr>
        <w:t> </w:t>
      </w:r>
      <w:r>
        <w:rPr/>
        <w:t>qualify</w:t>
      </w:r>
      <w:r>
        <w:rPr>
          <w:spacing w:val="-4"/>
        </w:rPr>
        <w:t> </w:t>
      </w:r>
      <w:r>
        <w:rPr/>
        <w:t>for</w:t>
      </w:r>
      <w:r>
        <w:rPr>
          <w:spacing w:val="-4"/>
        </w:rPr>
        <w:t> </w:t>
      </w:r>
      <w:r>
        <w:rPr/>
        <w:t>federal</w:t>
      </w:r>
      <w:r>
        <w:rPr>
          <w:spacing w:val="-6"/>
        </w:rPr>
        <w:t> </w:t>
      </w:r>
      <w:r>
        <w:rPr/>
        <w:t>disability</w:t>
      </w:r>
      <w:r>
        <w:rPr>
          <w:spacing w:val="-4"/>
        </w:rPr>
        <w:t> </w:t>
      </w:r>
      <w:r>
        <w:rPr/>
        <w:t>benefits</w:t>
      </w:r>
      <w:r>
        <w:rPr>
          <w:spacing w:val="-4"/>
        </w:rPr>
        <w:t> </w:t>
      </w:r>
      <w:r>
        <w:rPr/>
        <w:t>such</w:t>
      </w:r>
      <w:r>
        <w:rPr>
          <w:spacing w:val="-6"/>
        </w:rPr>
        <w:t> </w:t>
      </w:r>
      <w:r>
        <w:rPr/>
        <w:t>as CPP-D or provincial benefits such as PWD, ODSP,</w:t>
      </w:r>
      <w:r>
        <w:rPr>
          <w:spacing w:val="-10"/>
        </w:rPr>
        <w:t> </w:t>
      </w:r>
      <w:r>
        <w:rPr/>
        <w:t>AISH—many of which include rigorous eligibility requirements and application processes. Rather than requiring people with disabilities to undergo the arduous and demoralizing process of repeatedly proving their disability, we recommend the</w:t>
      </w:r>
      <w:r>
        <w:rPr>
          <w:spacing w:val="-1"/>
        </w:rPr>
        <w:t> </w:t>
      </w:r>
      <w:r>
        <w:rPr/>
        <w:t>government establish streamlined application</w:t>
      </w:r>
      <w:r>
        <w:rPr>
          <w:spacing w:val="-1"/>
        </w:rPr>
        <w:t> </w:t>
      </w:r>
      <w:r>
        <w:rPr/>
        <w:t>processes for individuals with existing disability designations. Doing so would reduce unnecessary administrative burdens while promoting greater dignity, accessibility, and </w:t>
      </w:r>
      <w:r>
        <w:rPr>
          <w:spacing w:val="-2"/>
        </w:rPr>
        <w:t>respect.</w:t>
      </w:r>
    </w:p>
    <w:p>
      <w:pPr>
        <w:pStyle w:val="Heading2"/>
        <w:spacing w:line="280" w:lineRule="auto" w:before="153"/>
        <w:ind w:right="459"/>
      </w:pPr>
      <w:r>
        <w:rPr/>
        <w:t>Recommendation</w:t>
      </w:r>
      <w:r>
        <w:rPr>
          <w:spacing w:val="-4"/>
        </w:rPr>
        <w:t> </w:t>
      </w:r>
      <w:r>
        <w:rPr/>
        <w:t>5:</w:t>
      </w:r>
      <w:r>
        <w:rPr>
          <w:spacing w:val="-4"/>
        </w:rPr>
        <w:t> </w:t>
      </w:r>
      <w:r>
        <w:rPr/>
        <w:t>Recognize</w:t>
      </w:r>
      <w:r>
        <w:rPr>
          <w:spacing w:val="-6"/>
        </w:rPr>
        <w:t> </w:t>
      </w:r>
      <w:r>
        <w:rPr/>
        <w:t>Eligibility</w:t>
      </w:r>
      <w:r>
        <w:rPr>
          <w:spacing w:val="-11"/>
        </w:rPr>
        <w:t> </w:t>
      </w:r>
      <w:r>
        <w:rPr/>
        <w:t>for</w:t>
      </w:r>
      <w:r>
        <w:rPr>
          <w:spacing w:val="-5"/>
        </w:rPr>
        <w:t> </w:t>
      </w:r>
      <w:r>
        <w:rPr/>
        <w:t>Persistent</w:t>
      </w:r>
      <w:r>
        <w:rPr>
          <w:spacing w:val="-4"/>
        </w:rPr>
        <w:t> </w:t>
      </w:r>
      <w:r>
        <w:rPr/>
        <w:t>but</w:t>
      </w:r>
      <w:r>
        <w:rPr>
          <w:spacing w:val="-4"/>
        </w:rPr>
        <w:t> </w:t>
      </w:r>
      <w:r>
        <w:rPr/>
        <w:t>Episodic </w:t>
      </w:r>
      <w:r>
        <w:rPr>
          <w:spacing w:val="-2"/>
        </w:rPr>
        <w:t>Conditions</w:t>
      </w:r>
    </w:p>
    <w:p>
      <w:pPr>
        <w:pStyle w:val="BodyText"/>
        <w:spacing w:line="278" w:lineRule="auto" w:before="152"/>
        <w:ind w:right="471"/>
      </w:pPr>
      <w:r>
        <w:rPr/>
        <w:t>With the opportunity to revisit current legislation, we hope that the government also revisits language that requires conditions to be present “substantially</w:t>
      </w:r>
      <w:r>
        <w:rPr>
          <w:spacing w:val="-1"/>
        </w:rPr>
        <w:t> </w:t>
      </w:r>
      <w:r>
        <w:rPr/>
        <w:t>all</w:t>
      </w:r>
      <w:r>
        <w:rPr>
          <w:spacing w:val="-4"/>
        </w:rPr>
        <w:t> </w:t>
      </w:r>
      <w:r>
        <w:rPr/>
        <w:t>of the</w:t>
      </w:r>
      <w:r>
        <w:rPr>
          <w:spacing w:val="-3"/>
        </w:rPr>
        <w:t> </w:t>
      </w:r>
      <w:r>
        <w:rPr/>
        <w:t>time”,</w:t>
      </w:r>
      <w:r>
        <w:rPr>
          <w:spacing w:val="-4"/>
        </w:rPr>
        <w:t> </w:t>
      </w:r>
      <w:r>
        <w:rPr/>
        <w:t>interpreted</w:t>
      </w:r>
      <w:r>
        <w:rPr>
          <w:spacing w:val="-8"/>
        </w:rPr>
        <w:t> </w:t>
      </w:r>
      <w:r>
        <w:rPr/>
        <w:t>in</w:t>
      </w:r>
      <w:r>
        <w:rPr>
          <w:spacing w:val="-2"/>
        </w:rPr>
        <w:t> </w:t>
      </w:r>
      <w:r>
        <w:rPr/>
        <w:t>practice</w:t>
      </w:r>
      <w:r>
        <w:rPr>
          <w:spacing w:val="-2"/>
        </w:rPr>
        <w:t> </w:t>
      </w:r>
      <w:r>
        <w:rPr/>
        <w:t>to</w:t>
      </w:r>
      <w:r>
        <w:rPr>
          <w:spacing w:val="-2"/>
        </w:rPr>
        <w:t> </w:t>
      </w:r>
      <w:r>
        <w:rPr/>
        <w:t>be</w:t>
      </w:r>
      <w:r>
        <w:rPr>
          <w:spacing w:val="-8"/>
        </w:rPr>
        <w:t> </w:t>
      </w:r>
      <w:r>
        <w:rPr/>
        <w:t>“at</w:t>
      </w:r>
      <w:r>
        <w:rPr>
          <w:spacing w:val="-5"/>
        </w:rPr>
        <w:t> </w:t>
      </w:r>
      <w:r>
        <w:rPr/>
        <w:t>least 90%</w:t>
      </w:r>
      <w:r>
        <w:rPr>
          <w:spacing w:val="-1"/>
        </w:rPr>
        <w:t> </w:t>
      </w:r>
      <w:r>
        <w:rPr/>
        <w:t>of the time”. These practices can add confusion and exclude those with severe and prolonged disabilities with episodic conditions who are</w:t>
      </w:r>
    </w:p>
    <w:p>
      <w:pPr>
        <w:pStyle w:val="BodyText"/>
        <w:spacing w:after="0" w:line="278" w:lineRule="auto"/>
        <w:sectPr>
          <w:pgSz w:w="12240" w:h="15840"/>
          <w:pgMar w:header="813" w:footer="0" w:top="1900" w:bottom="280" w:left="1440" w:right="1080"/>
        </w:sectPr>
      </w:pPr>
    </w:p>
    <w:p>
      <w:pPr>
        <w:pStyle w:val="BodyText"/>
        <w:spacing w:before="283"/>
        <w:ind w:right="0"/>
      </w:pPr>
    </w:p>
    <w:p>
      <w:pPr>
        <w:pStyle w:val="BodyText"/>
        <w:spacing w:line="278" w:lineRule="auto"/>
      </w:pPr>
      <w:r>
        <w:rPr/>
        <w:t>persistently impacted because of the unpredictable nature of their symptoms. To address this misinformation, the CRA</w:t>
      </w:r>
      <w:r>
        <w:rPr>
          <w:spacing w:val="-8"/>
        </w:rPr>
        <w:t> </w:t>
      </w:r>
      <w:r>
        <w:rPr/>
        <w:t>should explicitly recognize that a severe and prolonged impairment may be episodic, fluctuating</w:t>
      </w:r>
      <w:r>
        <w:rPr>
          <w:spacing w:val="-9"/>
        </w:rPr>
        <w:t> </w:t>
      </w:r>
      <w:r>
        <w:rPr/>
        <w:t>or</w:t>
      </w:r>
      <w:r>
        <w:rPr>
          <w:spacing w:val="-7"/>
        </w:rPr>
        <w:t> </w:t>
      </w:r>
      <w:r>
        <w:rPr/>
        <w:t>variable</w:t>
      </w:r>
      <w:r>
        <w:rPr>
          <w:spacing w:val="-8"/>
        </w:rPr>
        <w:t> </w:t>
      </w:r>
      <w:r>
        <w:rPr/>
        <w:t>in</w:t>
      </w:r>
      <w:r>
        <w:rPr>
          <w:spacing w:val="-8"/>
        </w:rPr>
        <w:t> </w:t>
      </w:r>
      <w:r>
        <w:rPr/>
        <w:t>its</w:t>
      </w:r>
      <w:r>
        <w:rPr>
          <w:spacing w:val="-7"/>
        </w:rPr>
        <w:t> </w:t>
      </w:r>
      <w:r>
        <w:rPr/>
        <w:t>day-to-day</w:t>
      </w:r>
      <w:r>
        <w:rPr>
          <w:spacing w:val="-7"/>
        </w:rPr>
        <w:t> </w:t>
      </w:r>
      <w:r>
        <w:rPr/>
        <w:t>presentation.</w:t>
      </w:r>
      <w:r>
        <w:rPr>
          <w:spacing w:val="-5"/>
        </w:rPr>
        <w:t> </w:t>
      </w:r>
      <w:r>
        <w:rPr/>
        <w:t>Further,</w:t>
      </w:r>
      <w:r>
        <w:rPr>
          <w:spacing w:val="-10"/>
        </w:rPr>
        <w:t> </w:t>
      </w:r>
      <w:r>
        <w:rPr/>
        <w:t>eligibility</w:t>
      </w:r>
    </w:p>
    <w:p>
      <w:pPr>
        <w:pStyle w:val="BodyText"/>
        <w:spacing w:line="276" w:lineRule="auto" w:before="2"/>
      </w:pPr>
      <w:r>
        <w:rPr/>
        <w:t>should</w:t>
      </w:r>
      <w:r>
        <w:rPr>
          <w:spacing w:val="-5"/>
        </w:rPr>
        <w:t> </w:t>
      </w:r>
      <w:r>
        <w:rPr/>
        <w:t>be</w:t>
      </w:r>
      <w:r>
        <w:rPr>
          <w:spacing w:val="-6"/>
        </w:rPr>
        <w:t> </w:t>
      </w:r>
      <w:r>
        <w:rPr/>
        <w:t>determined</w:t>
      </w:r>
      <w:r>
        <w:rPr>
          <w:spacing w:val="-2"/>
        </w:rPr>
        <w:t> </w:t>
      </w:r>
      <w:r>
        <w:rPr/>
        <w:t>based</w:t>
      </w:r>
      <w:r>
        <w:rPr>
          <w:spacing w:val="-6"/>
        </w:rPr>
        <w:t> </w:t>
      </w:r>
      <w:r>
        <w:rPr/>
        <w:t>on</w:t>
      </w:r>
      <w:r>
        <w:rPr>
          <w:spacing w:val="-6"/>
        </w:rPr>
        <w:t> </w:t>
      </w:r>
      <w:r>
        <w:rPr/>
        <w:t>the</w:t>
      </w:r>
      <w:r>
        <w:rPr>
          <w:spacing w:val="-6"/>
        </w:rPr>
        <w:t> </w:t>
      </w:r>
      <w:r>
        <w:rPr/>
        <w:t>individual's</w:t>
      </w:r>
      <w:r>
        <w:rPr>
          <w:spacing w:val="-4"/>
        </w:rPr>
        <w:t> </w:t>
      </w:r>
      <w:r>
        <w:rPr/>
        <w:t>overall</w:t>
      </w:r>
      <w:r>
        <w:rPr>
          <w:spacing w:val="-7"/>
        </w:rPr>
        <w:t> </w:t>
      </w:r>
      <w:r>
        <w:rPr/>
        <w:t>functional</w:t>
      </w:r>
      <w:r>
        <w:rPr>
          <w:spacing w:val="-7"/>
        </w:rPr>
        <w:t> </w:t>
      </w:r>
      <w:r>
        <w:rPr/>
        <w:t>limitations and not continuity of the restriction itself.</w:t>
      </w:r>
    </w:p>
    <w:p>
      <w:pPr>
        <w:pStyle w:val="Heading2"/>
        <w:spacing w:line="276" w:lineRule="auto" w:before="164"/>
      </w:pPr>
      <w:r>
        <w:rPr/>
        <w:t>Recommendation</w:t>
      </w:r>
      <w:r>
        <w:rPr>
          <w:spacing w:val="-8"/>
        </w:rPr>
        <w:t> </w:t>
      </w:r>
      <w:r>
        <w:rPr/>
        <w:t>6:</w:t>
      </w:r>
      <w:r>
        <w:rPr>
          <w:spacing w:val="-4"/>
        </w:rPr>
        <w:t> </w:t>
      </w:r>
      <w:r>
        <w:rPr/>
        <w:t>Further</w:t>
      </w:r>
      <w:r>
        <w:rPr>
          <w:spacing w:val="-6"/>
        </w:rPr>
        <w:t> </w:t>
      </w:r>
      <w:r>
        <w:rPr/>
        <w:t>Consider</w:t>
      </w:r>
      <w:r>
        <w:rPr>
          <w:spacing w:val="-6"/>
        </w:rPr>
        <w:t> </w:t>
      </w:r>
      <w:r>
        <w:rPr/>
        <w:t>Ending</w:t>
      </w:r>
      <w:r>
        <w:rPr>
          <w:spacing w:val="-7"/>
        </w:rPr>
        <w:t> </w:t>
      </w:r>
      <w:r>
        <w:rPr/>
        <w:t>Means</w:t>
      </w:r>
      <w:r>
        <w:rPr>
          <w:spacing w:val="-7"/>
        </w:rPr>
        <w:t> </w:t>
      </w:r>
      <w:r>
        <w:rPr/>
        <w:t>Testing</w:t>
      </w:r>
      <w:r>
        <w:rPr>
          <w:spacing w:val="-8"/>
        </w:rPr>
        <w:t> </w:t>
      </w:r>
      <w:r>
        <w:rPr/>
        <w:t>for</w:t>
      </w:r>
      <w:r>
        <w:rPr>
          <w:spacing w:val="-6"/>
        </w:rPr>
        <w:t> </w:t>
      </w:r>
      <w:r>
        <w:rPr/>
        <w:t>the DTC Medical Fee Supplement:</w:t>
      </w:r>
    </w:p>
    <w:p>
      <w:pPr>
        <w:pStyle w:val="BodyText"/>
        <w:spacing w:line="278" w:lineRule="auto" w:before="165"/>
      </w:pPr>
      <w:r>
        <w:rPr/>
        <w:t>We hope that the opportunity to review the DTC will also lead to an opportunity to introduce regulations to address financial barriers the DTC. Currently, to receive the newly enacted DTC medical fee supplement, one must</w:t>
      </w:r>
      <w:r>
        <w:rPr>
          <w:spacing w:val="-6"/>
        </w:rPr>
        <w:t> </w:t>
      </w:r>
      <w:r>
        <w:rPr/>
        <w:t>be</w:t>
      </w:r>
      <w:r>
        <w:rPr>
          <w:spacing w:val="-6"/>
        </w:rPr>
        <w:t> </w:t>
      </w:r>
      <w:r>
        <w:rPr/>
        <w:t>eligible</w:t>
      </w:r>
      <w:r>
        <w:rPr>
          <w:spacing w:val="-6"/>
        </w:rPr>
        <w:t> </w:t>
      </w:r>
      <w:r>
        <w:rPr/>
        <w:t>for</w:t>
      </w:r>
      <w:r>
        <w:rPr>
          <w:spacing w:val="-6"/>
        </w:rPr>
        <w:t> </w:t>
      </w:r>
      <w:r>
        <w:rPr/>
        <w:t>both</w:t>
      </w:r>
      <w:r>
        <w:rPr>
          <w:spacing w:val="-6"/>
        </w:rPr>
        <w:t> </w:t>
      </w:r>
      <w:r>
        <w:rPr/>
        <w:t>the</w:t>
      </w:r>
      <w:r>
        <w:rPr>
          <w:spacing w:val="-8"/>
        </w:rPr>
        <w:t> </w:t>
      </w:r>
      <w:r>
        <w:rPr/>
        <w:t>Disability</w:t>
      </w:r>
      <w:r>
        <w:rPr>
          <w:spacing w:val="-11"/>
        </w:rPr>
        <w:t> </w:t>
      </w:r>
      <w:r>
        <w:rPr/>
        <w:t>Tax</w:t>
      </w:r>
      <w:r>
        <w:rPr>
          <w:spacing w:val="-7"/>
        </w:rPr>
        <w:t> </w:t>
      </w:r>
      <w:r>
        <w:rPr/>
        <w:t>Credit</w:t>
      </w:r>
      <w:r>
        <w:rPr>
          <w:spacing w:val="-5"/>
        </w:rPr>
        <w:t> </w:t>
      </w:r>
      <w:r>
        <w:rPr/>
        <w:t>and</w:t>
      </w:r>
      <w:r>
        <w:rPr>
          <w:spacing w:val="-7"/>
        </w:rPr>
        <w:t> </w:t>
      </w:r>
      <w:r>
        <w:rPr/>
        <w:t>the</w:t>
      </w:r>
      <w:r>
        <w:rPr>
          <w:spacing w:val="-8"/>
        </w:rPr>
        <w:t> </w:t>
      </w:r>
      <w:r>
        <w:rPr/>
        <w:t>Canada</w:t>
      </w:r>
      <w:r>
        <w:rPr>
          <w:spacing w:val="-7"/>
        </w:rPr>
        <w:t> </w:t>
      </w:r>
      <w:r>
        <w:rPr/>
        <w:t>Disability Benefit. Many people with disabilities may not qualify for the Canada Disability Benefit but still live with expenses related to</w:t>
      </w:r>
      <w:r>
        <w:rPr>
          <w:spacing w:val="-2"/>
        </w:rPr>
        <w:t> </w:t>
      </w:r>
      <w:r>
        <w:rPr/>
        <w:t>their disabilities that impact their quality of life. Introducing regulations that include direct reimbursement</w:t>
      </w:r>
      <w:r>
        <w:rPr>
          <w:spacing w:val="-3"/>
        </w:rPr>
        <w:t> </w:t>
      </w:r>
      <w:r>
        <w:rPr/>
        <w:t>to</w:t>
      </w:r>
      <w:r>
        <w:rPr>
          <w:spacing w:val="-10"/>
        </w:rPr>
        <w:t> </w:t>
      </w:r>
      <w:r>
        <w:rPr/>
        <w:t>medical</w:t>
      </w:r>
      <w:r>
        <w:rPr>
          <w:spacing w:val="-7"/>
        </w:rPr>
        <w:t> </w:t>
      </w:r>
      <w:r>
        <w:rPr/>
        <w:t>practitioners</w:t>
      </w:r>
      <w:r>
        <w:rPr>
          <w:spacing w:val="-5"/>
        </w:rPr>
        <w:t> </w:t>
      </w:r>
      <w:r>
        <w:rPr/>
        <w:t>for</w:t>
      </w:r>
      <w:r>
        <w:rPr>
          <w:spacing w:val="-5"/>
        </w:rPr>
        <w:t> </w:t>
      </w:r>
      <w:r>
        <w:rPr/>
        <w:t>their</w:t>
      </w:r>
      <w:r>
        <w:rPr>
          <w:spacing w:val="-4"/>
        </w:rPr>
        <w:t> </w:t>
      </w:r>
      <w:r>
        <w:rPr/>
        <w:t>support</w:t>
      </w:r>
      <w:r>
        <w:rPr>
          <w:spacing w:val="-7"/>
        </w:rPr>
        <w:t> </w:t>
      </w:r>
      <w:r>
        <w:rPr/>
        <w:t>with</w:t>
      </w:r>
      <w:r>
        <w:rPr>
          <w:spacing w:val="-5"/>
        </w:rPr>
        <w:t> </w:t>
      </w:r>
      <w:r>
        <w:rPr/>
        <w:t>an</w:t>
      </w:r>
      <w:r>
        <w:rPr>
          <w:spacing w:val="-6"/>
        </w:rPr>
        <w:t> </w:t>
      </w:r>
      <w:r>
        <w:rPr/>
        <w:t>application will enable greater access to the DTC.</w:t>
      </w:r>
    </w:p>
    <w:p>
      <w:pPr>
        <w:pStyle w:val="BodyText"/>
        <w:spacing w:line="278" w:lineRule="auto" w:before="155"/>
      </w:pPr>
      <w:r>
        <w:rPr/>
        <w:t>DABC is grateful for the opportunity to provide consultation on these amendments</w:t>
      </w:r>
      <w:r>
        <w:rPr>
          <w:spacing w:val="-3"/>
        </w:rPr>
        <w:t> </w:t>
      </w:r>
      <w:r>
        <w:rPr/>
        <w:t>to</w:t>
      </w:r>
      <w:r>
        <w:rPr>
          <w:spacing w:val="-9"/>
        </w:rPr>
        <w:t> </w:t>
      </w:r>
      <w:r>
        <w:rPr/>
        <w:t>the</w:t>
      </w:r>
      <w:r>
        <w:rPr>
          <w:spacing w:val="-5"/>
        </w:rPr>
        <w:t> </w:t>
      </w:r>
      <w:r>
        <w:rPr/>
        <w:t>Department</w:t>
      </w:r>
      <w:r>
        <w:rPr>
          <w:spacing w:val="-6"/>
        </w:rPr>
        <w:t> </w:t>
      </w:r>
      <w:r>
        <w:rPr/>
        <w:t>of</w:t>
      </w:r>
      <w:r>
        <w:rPr>
          <w:spacing w:val="-7"/>
        </w:rPr>
        <w:t> </w:t>
      </w:r>
      <w:r>
        <w:rPr/>
        <w:t>Finance</w:t>
      </w:r>
      <w:r>
        <w:rPr>
          <w:spacing w:val="-5"/>
        </w:rPr>
        <w:t> </w:t>
      </w:r>
      <w:r>
        <w:rPr/>
        <w:t>and</w:t>
      </w:r>
      <w:r>
        <w:rPr>
          <w:spacing w:val="-4"/>
        </w:rPr>
        <w:t> </w:t>
      </w:r>
      <w:r>
        <w:rPr/>
        <w:t>believe</w:t>
      </w:r>
      <w:r>
        <w:rPr>
          <w:spacing w:val="-5"/>
        </w:rPr>
        <w:t> </w:t>
      </w:r>
      <w:r>
        <w:rPr/>
        <w:t>that</w:t>
      </w:r>
      <w:r>
        <w:rPr>
          <w:spacing w:val="-1"/>
        </w:rPr>
        <w:t> </w:t>
      </w:r>
      <w:r>
        <w:rPr/>
        <w:t>by</w:t>
      </w:r>
      <w:r>
        <w:rPr>
          <w:spacing w:val="-4"/>
        </w:rPr>
        <w:t> </w:t>
      </w:r>
      <w:r>
        <w:rPr/>
        <w:t>introducing legislative changes that include greater flexibility and accessibility will be important step toward achieving meaningful improvements to the lives of people with disabilities.</w:t>
      </w:r>
    </w:p>
    <w:sectPr>
      <w:pgSz w:w="12240" w:h="15840"/>
      <w:pgMar w:header="813" w:footer="0" w:top="190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 w:name="Symbol">
    <w:altName w:val="Symbol"/>
    <w:charset w:val="2"/>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right="0"/>
      <w:rPr>
        <w:sz w:val="20"/>
      </w:rPr>
    </w:pPr>
    <w:r>
      <w:rPr>
        <w:sz w:val="20"/>
      </w:rPr>
      <w:drawing>
        <wp:anchor distT="0" distB="0" distL="0" distR="0" allowOverlap="1" layoutInCell="1" locked="0" behindDoc="1" simplePos="0" relativeHeight="487542272">
          <wp:simplePos x="0" y="0"/>
          <wp:positionH relativeFrom="page">
            <wp:posOffset>704274</wp:posOffset>
          </wp:positionH>
          <wp:positionV relativeFrom="page">
            <wp:posOffset>516255</wp:posOffset>
          </wp:positionV>
          <wp:extent cx="6725505" cy="69215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6725505" cy="69215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1" w:hanging="360"/>
      </w:pPr>
      <w:rPr>
        <w:rFonts w:hint="default" w:ascii="Symbol" w:hAnsi="Symbol" w:eastAsia="Symbol" w:cs="Symbol"/>
        <w:b w:val="0"/>
        <w:bCs w:val="0"/>
        <w:i w:val="0"/>
        <w:iCs w:val="0"/>
        <w:spacing w:val="0"/>
        <w:w w:val="100"/>
        <w:sz w:val="28"/>
        <w:szCs w:val="28"/>
        <w:lang w:val="en-US" w:eastAsia="en-US" w:bidi="ar-SA"/>
      </w:rPr>
    </w:lvl>
    <w:lvl w:ilvl="1">
      <w:start w:val="0"/>
      <w:numFmt w:val="bullet"/>
      <w:lvlText w:val="•"/>
      <w:lvlJc w:val="left"/>
      <w:pPr>
        <w:ind w:left="1620" w:hanging="360"/>
      </w:pPr>
      <w:rPr>
        <w:rFonts w:hint="default"/>
        <w:lang w:val="en-US" w:eastAsia="en-US" w:bidi="ar-SA"/>
      </w:rPr>
    </w:lvl>
    <w:lvl w:ilvl="2">
      <w:start w:val="0"/>
      <w:numFmt w:val="bullet"/>
      <w:lvlText w:val="•"/>
      <w:lvlJc w:val="left"/>
      <w:pPr>
        <w:ind w:left="2520" w:hanging="360"/>
      </w:pPr>
      <w:rPr>
        <w:rFonts w:hint="default"/>
        <w:lang w:val="en-US" w:eastAsia="en-US" w:bidi="ar-SA"/>
      </w:rPr>
    </w:lvl>
    <w:lvl w:ilvl="3">
      <w:start w:val="0"/>
      <w:numFmt w:val="bullet"/>
      <w:lvlText w:val="•"/>
      <w:lvlJc w:val="left"/>
      <w:pPr>
        <w:ind w:left="3420" w:hanging="360"/>
      </w:pPr>
      <w:rPr>
        <w:rFonts w:hint="default"/>
        <w:lang w:val="en-US" w:eastAsia="en-US" w:bidi="ar-SA"/>
      </w:rPr>
    </w:lvl>
    <w:lvl w:ilvl="4">
      <w:start w:val="0"/>
      <w:numFmt w:val="bullet"/>
      <w:lvlText w:val="•"/>
      <w:lvlJc w:val="left"/>
      <w:pPr>
        <w:ind w:left="4320" w:hanging="360"/>
      </w:pPr>
      <w:rPr>
        <w:rFonts w:hint="default"/>
        <w:lang w:val="en-US" w:eastAsia="en-US" w:bidi="ar-SA"/>
      </w:rPr>
    </w:lvl>
    <w:lvl w:ilvl="5">
      <w:start w:val="0"/>
      <w:numFmt w:val="bullet"/>
      <w:lvlText w:val="•"/>
      <w:lvlJc w:val="left"/>
      <w:pPr>
        <w:ind w:left="5220" w:hanging="360"/>
      </w:pPr>
      <w:rPr>
        <w:rFonts w:hint="default"/>
        <w:lang w:val="en-US" w:eastAsia="en-US" w:bidi="ar-SA"/>
      </w:rPr>
    </w:lvl>
    <w:lvl w:ilvl="6">
      <w:start w:val="0"/>
      <w:numFmt w:val="bullet"/>
      <w:lvlText w:val="•"/>
      <w:lvlJc w:val="left"/>
      <w:pPr>
        <w:ind w:left="6120" w:hanging="360"/>
      </w:pPr>
      <w:rPr>
        <w:rFonts w:hint="default"/>
        <w:lang w:val="en-US" w:eastAsia="en-US" w:bidi="ar-SA"/>
      </w:rPr>
    </w:lvl>
    <w:lvl w:ilvl="7">
      <w:start w:val="0"/>
      <w:numFmt w:val="bullet"/>
      <w:lvlText w:val="•"/>
      <w:lvlJc w:val="left"/>
      <w:pPr>
        <w:ind w:left="7020" w:hanging="360"/>
      </w:pPr>
      <w:rPr>
        <w:rFonts w:hint="default"/>
        <w:lang w:val="en-US" w:eastAsia="en-US" w:bidi="ar-SA"/>
      </w:rPr>
    </w:lvl>
    <w:lvl w:ilvl="8">
      <w:start w:val="0"/>
      <w:numFmt w:val="bullet"/>
      <w:lvlText w:val="•"/>
      <w:lvlJc w:val="left"/>
      <w:pPr>
        <w:ind w:left="792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ind w:right="354"/>
    </w:pPr>
    <w:rPr>
      <w:rFonts w:ascii="Arial" w:hAnsi="Arial" w:eastAsia="Arial" w:cs="Arial"/>
      <w:sz w:val="28"/>
      <w:szCs w:val="28"/>
      <w:lang w:val="en-US" w:eastAsia="en-US" w:bidi="ar-SA"/>
    </w:rPr>
  </w:style>
  <w:style w:styleId="Heading1" w:type="paragraph">
    <w:name w:val="Heading 1"/>
    <w:basedOn w:val="Normal"/>
    <w:uiPriority w:val="1"/>
    <w:qFormat/>
    <w:pPr>
      <w:spacing w:before="158"/>
      <w:outlineLvl w:val="1"/>
    </w:pPr>
    <w:rPr>
      <w:rFonts w:ascii="Arial" w:hAnsi="Arial" w:eastAsia="Arial" w:cs="Arial"/>
      <w:b/>
      <w:bCs/>
      <w:sz w:val="36"/>
      <w:szCs w:val="36"/>
      <w:lang w:val="en-US" w:eastAsia="en-US" w:bidi="ar-SA"/>
    </w:rPr>
  </w:style>
  <w:style w:styleId="Heading2" w:type="paragraph">
    <w:name w:val="Heading 2"/>
    <w:basedOn w:val="Normal"/>
    <w:uiPriority w:val="1"/>
    <w:qFormat/>
    <w:pPr>
      <w:spacing w:before="157"/>
      <w:ind w:right="354"/>
      <w:outlineLvl w:val="2"/>
    </w:pPr>
    <w:rPr>
      <w:rFonts w:ascii="Arial" w:hAnsi="Arial" w:eastAsia="Arial" w:cs="Arial"/>
      <w:b/>
      <w:bCs/>
      <w:sz w:val="28"/>
      <w:szCs w:val="28"/>
      <w:lang w:val="en-US" w:eastAsia="en-US" w:bidi="ar-SA"/>
    </w:rPr>
  </w:style>
  <w:style w:styleId="ListParagraph" w:type="paragraph">
    <w:name w:val="List Paragraph"/>
    <w:basedOn w:val="Normal"/>
    <w:uiPriority w:val="1"/>
    <w:qFormat/>
    <w:pPr>
      <w:ind w:left="721" w:right="378" w:hanging="360"/>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https://www.canada.ca/en/revenue-agency/corporate/about-canada-revenue-agency-cra/disability-advisory-committee/2024-full-report.html#toc9" TargetMode="External"/><Relationship Id="rId7" Type="http://schemas.openxmlformats.org/officeDocument/2006/relationships/hyperlink" Target="https://www.canada.ca/en/revenue-agency/corporate/about-canada-revenue-agency-cra/disability-" TargetMode="External"/><Relationship Id="rId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Minh</dc:creator>
  <dcterms:created xsi:type="dcterms:W3CDTF">2026-09-11T17:49:11Z</dcterms:created>
  <dcterms:modified xsi:type="dcterms:W3CDTF">2026-09-11T17:49:11Z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2026-09-04T00:00:00Z</vt:filetime>
  </property>
  <property fmtid="{D5CDD505-2E9C-101B-9397-08002B2CF9AE}" pid="3" name="Creator">
    <vt:lpwstr>Microsoft Word</vt:lpwstr>
  </property>
  <property fmtid="{D5CDD505-2E9C-101B-9397-08002B2CF9AE}" pid="4" name="LastSaved">
    <vt:filetime>2026-09-11T00:00:00Z</vt:filetime>
  </property>
</Properties>
</file>