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D327" w14:textId="061CD189" w:rsidR="005523BF" w:rsidRDefault="00000000" w:rsidP="007F5DB5">
      <w:pPr>
        <w:jc w:val="center"/>
      </w:pPr>
      <w:r>
        <w:rPr>
          <w:rFonts w:ascii="Arial" w:eastAsia="Arial" w:hAnsi="Arial"/>
          <w:b/>
          <w:bCs/>
          <w:color w:val="000000"/>
          <w:sz w:val="28"/>
          <w:szCs w:val="28"/>
          <w:lang w:val="en-CA"/>
        </w:rPr>
        <w:t>PRESS RELEASE:</w:t>
      </w:r>
    </w:p>
    <w:p w14:paraId="66CC3890" w14:textId="77777777" w:rsidR="005523BF" w:rsidRDefault="00000000">
      <w:pPr>
        <w:jc w:val="center"/>
      </w:pPr>
      <w:r>
        <w:rPr>
          <w:rFonts w:ascii="Arial" w:eastAsia="Arial" w:hAnsi="Arial"/>
          <w:b/>
          <w:bCs/>
          <w:color w:val="000000"/>
          <w:sz w:val="28"/>
          <w:szCs w:val="28"/>
          <w:lang w:val="en-CA"/>
        </w:rPr>
        <w:t>Accessibility Projects Grants Application Process Opens for 2026/27</w:t>
      </w:r>
    </w:p>
    <w:p w14:paraId="43A2CB66" w14:textId="77777777" w:rsidR="005523BF" w:rsidRDefault="00000000">
      <w:pPr>
        <w:jc w:val="center"/>
      </w:pPr>
      <w:r>
        <w:rPr>
          <w:rFonts w:ascii="Arial" w:eastAsia="Arial" w:hAnsi="Arial"/>
          <w:b/>
          <w:bCs/>
          <w:i/>
          <w:iCs/>
          <w:color w:val="000000"/>
          <w:sz w:val="28"/>
          <w:szCs w:val="28"/>
          <w:lang w:val="en-CA"/>
        </w:rPr>
        <w:t>-For Immediate Release-</w:t>
      </w:r>
    </w:p>
    <w:p w14:paraId="5761CEC9" w14:textId="77777777" w:rsidR="005523BF" w:rsidRDefault="005523BF">
      <w:pPr>
        <w:jc w:val="both"/>
        <w:rPr>
          <w:rFonts w:ascii="Arial" w:eastAsia="Arial" w:hAnsi="Arial"/>
          <w:color w:val="000000"/>
          <w:sz w:val="28"/>
          <w:szCs w:val="28"/>
        </w:rPr>
      </w:pPr>
    </w:p>
    <w:p w14:paraId="5E46E0D7" w14:textId="77777777" w:rsidR="005523BF" w:rsidRDefault="00000000">
      <w:pPr>
        <w:jc w:val="both"/>
      </w:pPr>
      <w:r>
        <w:rPr>
          <w:rFonts w:ascii="Arial" w:eastAsia="Arial" w:hAnsi="Arial"/>
          <w:color w:val="000000"/>
          <w:sz w:val="28"/>
          <w:szCs w:val="28"/>
          <w:lang w:val="en-CA"/>
        </w:rPr>
        <w:t xml:space="preserve">Vancouver, BC – </w:t>
      </w:r>
      <w:r>
        <w:rPr>
          <w:rFonts w:ascii="Arial" w:eastAsia="Arial" w:hAnsi="Arial"/>
          <w:b/>
          <w:bCs/>
          <w:color w:val="000000"/>
          <w:sz w:val="28"/>
          <w:szCs w:val="28"/>
          <w:lang w:val="en-CA"/>
        </w:rPr>
        <w:t>June 1</w:t>
      </w:r>
      <w:r>
        <w:rPr>
          <w:rFonts w:ascii="Arial" w:eastAsia="Arial" w:hAnsi="Arial"/>
          <w:b/>
          <w:bCs/>
          <w:color w:val="000000"/>
          <w:sz w:val="28"/>
          <w:szCs w:val="28"/>
          <w:vertAlign w:val="superscript"/>
          <w:lang w:val="en-CA"/>
        </w:rPr>
        <w:t>st</w:t>
      </w:r>
      <w:r>
        <w:rPr>
          <w:rFonts w:ascii="Arial" w:eastAsia="Arial" w:hAnsi="Arial"/>
          <w:b/>
          <w:bCs/>
          <w:color w:val="000000"/>
          <w:sz w:val="28"/>
          <w:szCs w:val="28"/>
          <w:lang w:val="en-CA"/>
        </w:rPr>
        <w:t>, 2026</w:t>
      </w:r>
    </w:p>
    <w:p w14:paraId="602C808E" w14:textId="1D78A943" w:rsidR="005523BF" w:rsidRDefault="00000000">
      <w:r>
        <w:rPr>
          <w:rFonts w:ascii="Arial" w:eastAsia="Arial" w:hAnsi="Arial"/>
          <w:color w:val="000000"/>
          <w:sz w:val="28"/>
          <w:szCs w:val="28"/>
        </w:rPr>
        <w:t xml:space="preserve">As part of this year’s </w:t>
      </w:r>
      <w:proofErr w:type="spellStart"/>
      <w:r>
        <w:rPr>
          <w:rFonts w:ascii="Arial" w:eastAsia="Arial" w:hAnsi="Arial"/>
          <w:color w:val="000000"/>
          <w:sz w:val="28"/>
          <w:szCs w:val="28"/>
        </w:rPr>
        <w:t>AccessAbility</w:t>
      </w:r>
      <w:proofErr w:type="spellEnd"/>
      <w:r>
        <w:rPr>
          <w:rFonts w:ascii="Arial" w:eastAsia="Arial" w:hAnsi="Arial"/>
          <w:color w:val="000000"/>
          <w:sz w:val="28"/>
          <w:szCs w:val="28"/>
        </w:rPr>
        <w:t xml:space="preserve"> Week, taking place May 31</w:t>
      </w:r>
      <w:r>
        <w:rPr>
          <w:rFonts w:ascii="Arial" w:eastAsia="Arial" w:hAnsi="Arial"/>
          <w:color w:val="000000"/>
          <w:sz w:val="28"/>
          <w:szCs w:val="28"/>
          <w:vertAlign w:val="superscript"/>
        </w:rPr>
        <w:t>st</w:t>
      </w:r>
      <w:r>
        <w:rPr>
          <w:rFonts w:ascii="Arial" w:eastAsia="Arial" w:hAnsi="Arial"/>
          <w:color w:val="000000"/>
          <w:sz w:val="28"/>
          <w:szCs w:val="28"/>
        </w:rPr>
        <w:t xml:space="preserve"> to June 6</w:t>
      </w:r>
      <w:r>
        <w:rPr>
          <w:rFonts w:ascii="Arial" w:eastAsia="Arial" w:hAnsi="Arial"/>
          <w:color w:val="000000"/>
          <w:sz w:val="28"/>
          <w:szCs w:val="28"/>
          <w:vertAlign w:val="superscript"/>
        </w:rPr>
        <w:t>th</w:t>
      </w:r>
      <w:r>
        <w:rPr>
          <w:rFonts w:ascii="Arial" w:eastAsia="Arial" w:hAnsi="Arial"/>
          <w:color w:val="000000"/>
          <w:sz w:val="28"/>
          <w:szCs w:val="28"/>
        </w:rPr>
        <w:t xml:space="preserve">, Disability Alliance BC (DABC) announced that the funding for the Accessibility Projects Grants has been renewed by the </w:t>
      </w:r>
      <w:proofErr w:type="gramStart"/>
      <w:r>
        <w:rPr>
          <w:rFonts w:ascii="Arial" w:eastAsia="Arial" w:hAnsi="Arial"/>
          <w:color w:val="000000"/>
          <w:sz w:val="28"/>
          <w:szCs w:val="28"/>
        </w:rPr>
        <w:t>Province</w:t>
      </w:r>
      <w:proofErr w:type="gramEnd"/>
      <w:r>
        <w:rPr>
          <w:rFonts w:ascii="Arial" w:eastAsia="Arial" w:hAnsi="Arial"/>
          <w:color w:val="000000"/>
          <w:sz w:val="28"/>
          <w:szCs w:val="28"/>
        </w:rPr>
        <w:t xml:space="preserve">. </w:t>
      </w:r>
    </w:p>
    <w:p w14:paraId="264CA95F" w14:textId="77777777" w:rsidR="005523BF" w:rsidRDefault="00000000">
      <w:pPr>
        <w:shd w:val="clear" w:color="auto" w:fill="FFFFFF"/>
        <w:rPr>
          <w:rFonts w:ascii="Arial" w:eastAsia="Arial" w:hAnsi="Arial"/>
          <w:color w:val="000000"/>
          <w:sz w:val="28"/>
          <w:szCs w:val="28"/>
        </w:rPr>
      </w:pPr>
      <w:r w:rsidRPr="769959E2">
        <w:rPr>
          <w:rFonts w:ascii="Arial" w:eastAsia="Arial" w:hAnsi="Arial"/>
          <w:color w:val="000000" w:themeColor="text1"/>
          <w:sz w:val="28"/>
          <w:szCs w:val="28"/>
        </w:rPr>
        <w:t xml:space="preserve">The Accessibility Projects Grants were first launched in 2018 to commemorate BC’s first </w:t>
      </w:r>
      <w:proofErr w:type="spellStart"/>
      <w:r w:rsidRPr="769959E2">
        <w:rPr>
          <w:rFonts w:ascii="Arial" w:eastAsia="Arial" w:hAnsi="Arial"/>
          <w:color w:val="000000" w:themeColor="text1"/>
          <w:sz w:val="28"/>
          <w:szCs w:val="28"/>
        </w:rPr>
        <w:t>AccessAbility</w:t>
      </w:r>
      <w:proofErr w:type="spellEnd"/>
      <w:r w:rsidRPr="769959E2">
        <w:rPr>
          <w:rFonts w:ascii="Arial" w:eastAsia="Arial" w:hAnsi="Arial"/>
          <w:color w:val="000000" w:themeColor="text1"/>
          <w:sz w:val="28"/>
          <w:szCs w:val="28"/>
        </w:rPr>
        <w:t xml:space="preserve"> Week, and since that time, over 100 projects have been funded throughout British Columbia. Each year, the Ministry of Social Development and Poverty Reduction has provided $450,000 to DABC to distribute as community grants to improve and promote accessibility and inclusion in the province. </w:t>
      </w:r>
    </w:p>
    <w:p w14:paraId="40C80BE8" w14:textId="7B3F7219" w:rsidR="005523BF" w:rsidRDefault="5F9AF137" w:rsidP="769959E2">
      <w:pPr>
        <w:shd w:val="clear" w:color="auto" w:fill="FFFFFF" w:themeFill="background1"/>
        <w:rPr>
          <w:rFonts w:ascii="Arial" w:eastAsia="Arial" w:hAnsi="Arial"/>
          <w:sz w:val="28"/>
          <w:szCs w:val="28"/>
        </w:rPr>
      </w:pPr>
      <w:r w:rsidRPr="769959E2">
        <w:rPr>
          <w:rFonts w:ascii="Arial" w:eastAsia="Arial" w:hAnsi="Arial"/>
          <w:color w:val="000000" w:themeColor="text1"/>
          <w:sz w:val="28"/>
          <w:szCs w:val="28"/>
        </w:rPr>
        <w:t xml:space="preserve">"People with disabilities have so much to offer their communities when those communities are accessible to and inclusive of them,” said Helaine Boyd, Executive Director of Disability Alliance BC. “As such, we are thrilled that the </w:t>
      </w:r>
      <w:proofErr w:type="gramStart"/>
      <w:r w:rsidRPr="769959E2">
        <w:rPr>
          <w:rFonts w:ascii="Arial" w:eastAsia="Arial" w:hAnsi="Arial"/>
          <w:color w:val="000000" w:themeColor="text1"/>
          <w:sz w:val="28"/>
          <w:szCs w:val="28"/>
        </w:rPr>
        <w:t>Province</w:t>
      </w:r>
      <w:proofErr w:type="gramEnd"/>
      <w:r w:rsidRPr="769959E2">
        <w:rPr>
          <w:rFonts w:ascii="Arial" w:eastAsia="Arial" w:hAnsi="Arial"/>
          <w:color w:val="000000" w:themeColor="text1"/>
          <w:sz w:val="28"/>
          <w:szCs w:val="28"/>
        </w:rPr>
        <w:t xml:space="preserve"> continues to support the Accessibility Projects Grants, providing funding for us to distribute to not-for-profit organizations around BC.” </w:t>
      </w:r>
      <w:r w:rsidRPr="769959E2">
        <w:rPr>
          <w:rFonts w:ascii="Arial" w:eastAsia="Arial" w:hAnsi="Arial"/>
          <w:sz w:val="28"/>
          <w:szCs w:val="28"/>
        </w:rPr>
        <w:t xml:space="preserve"> </w:t>
      </w:r>
    </w:p>
    <w:p w14:paraId="35A79CDE" w14:textId="38B057E9" w:rsidR="005523BF" w:rsidRDefault="00000000" w:rsidP="769959E2">
      <w:pPr>
        <w:shd w:val="clear" w:color="auto" w:fill="FFFFFF" w:themeFill="background1"/>
      </w:pPr>
      <w:r w:rsidRPr="769959E2">
        <w:rPr>
          <w:rFonts w:ascii="Arial" w:eastAsia="Arial" w:hAnsi="Arial"/>
          <w:color w:val="000000" w:themeColor="text1"/>
          <w:sz w:val="28"/>
          <w:szCs w:val="28"/>
        </w:rPr>
        <w:t>Organizations may apply for up to $40,000 for year-long community engagement projects that will support lasting change for the more than 900,000 people (24.7% of population over age 15)</w:t>
      </w:r>
      <w:r w:rsidRPr="769959E2">
        <w:rPr>
          <w:rFonts w:ascii="Arial" w:eastAsia="Arial" w:hAnsi="Arial"/>
          <w:color w:val="000000" w:themeColor="text1"/>
          <w:sz w:val="28"/>
          <w:szCs w:val="28"/>
          <w:vertAlign w:val="superscript"/>
        </w:rPr>
        <w:t>1</w:t>
      </w:r>
      <w:r w:rsidRPr="769959E2">
        <w:rPr>
          <w:rFonts w:ascii="Arial" w:eastAsia="Arial" w:hAnsi="Arial"/>
          <w:color w:val="000000" w:themeColor="text1"/>
          <w:sz w:val="28"/>
          <w:szCs w:val="28"/>
        </w:rPr>
        <w:t xml:space="preserve"> in BC living with disability. Projects will focus on one of the following objectives:</w:t>
      </w:r>
    </w:p>
    <w:p w14:paraId="7A39C038" w14:textId="77777777" w:rsidR="005523BF" w:rsidRDefault="00000000">
      <w:pPr>
        <w:pStyle w:val="ListParagraph"/>
        <w:numPr>
          <w:ilvl w:val="0"/>
          <w:numId w:val="1"/>
        </w:numPr>
        <w:shd w:val="clear" w:color="auto" w:fill="FFFFFF"/>
        <w:spacing w:after="120"/>
        <w:contextualSpacing/>
        <w:rPr>
          <w:rFonts w:ascii="Arial" w:eastAsia="Arial" w:hAnsi="Arial"/>
          <w:color w:val="000000"/>
          <w:sz w:val="28"/>
          <w:szCs w:val="28"/>
        </w:rPr>
      </w:pPr>
      <w:r>
        <w:rPr>
          <w:rFonts w:ascii="Arial" w:eastAsia="Arial" w:hAnsi="Arial"/>
          <w:color w:val="000000"/>
          <w:sz w:val="28"/>
          <w:szCs w:val="28"/>
        </w:rPr>
        <w:t>Accessible employment;</w:t>
      </w:r>
    </w:p>
    <w:p w14:paraId="149020CD" w14:textId="77777777" w:rsidR="005523BF" w:rsidRDefault="00000000">
      <w:pPr>
        <w:pStyle w:val="ListParagraph"/>
        <w:numPr>
          <w:ilvl w:val="0"/>
          <w:numId w:val="1"/>
        </w:numPr>
        <w:shd w:val="clear" w:color="auto" w:fill="FFFFFF"/>
        <w:spacing w:after="120"/>
        <w:contextualSpacing/>
        <w:rPr>
          <w:rFonts w:ascii="Arial" w:eastAsia="Arial" w:hAnsi="Arial"/>
          <w:color w:val="000000"/>
          <w:sz w:val="28"/>
          <w:szCs w:val="28"/>
        </w:rPr>
      </w:pPr>
      <w:r>
        <w:rPr>
          <w:rFonts w:ascii="Arial" w:eastAsia="Arial" w:hAnsi="Arial"/>
          <w:color w:val="000000"/>
          <w:sz w:val="28"/>
          <w:szCs w:val="28"/>
        </w:rPr>
        <w:t>Accessible emergency planning and response;</w:t>
      </w:r>
    </w:p>
    <w:p w14:paraId="78472712" w14:textId="77777777" w:rsidR="005523BF" w:rsidRDefault="00000000">
      <w:pPr>
        <w:pStyle w:val="ListParagraph"/>
        <w:numPr>
          <w:ilvl w:val="0"/>
          <w:numId w:val="1"/>
        </w:numPr>
        <w:shd w:val="clear" w:color="auto" w:fill="FFFFFF"/>
        <w:spacing w:after="120"/>
        <w:contextualSpacing/>
        <w:rPr>
          <w:rFonts w:ascii="Arial" w:eastAsia="Arial" w:hAnsi="Arial"/>
          <w:color w:val="000000"/>
          <w:sz w:val="28"/>
          <w:szCs w:val="28"/>
        </w:rPr>
      </w:pPr>
      <w:r>
        <w:rPr>
          <w:rFonts w:ascii="Arial" w:eastAsia="Arial" w:hAnsi="Arial"/>
          <w:color w:val="000000"/>
          <w:sz w:val="28"/>
          <w:szCs w:val="28"/>
        </w:rPr>
        <w:t>Accessible arts, culture and tourism;</w:t>
      </w:r>
    </w:p>
    <w:p w14:paraId="5CB2CC22" w14:textId="77777777" w:rsidR="005523BF" w:rsidRDefault="00000000">
      <w:pPr>
        <w:pStyle w:val="ListParagraph"/>
        <w:numPr>
          <w:ilvl w:val="0"/>
          <w:numId w:val="1"/>
        </w:numPr>
        <w:shd w:val="clear" w:color="auto" w:fill="FFFFFF"/>
        <w:spacing w:after="120"/>
        <w:contextualSpacing/>
        <w:rPr>
          <w:rFonts w:ascii="Arial" w:eastAsia="Arial" w:hAnsi="Arial"/>
          <w:color w:val="000000"/>
          <w:sz w:val="28"/>
          <w:szCs w:val="28"/>
        </w:rPr>
      </w:pPr>
      <w:r>
        <w:rPr>
          <w:rFonts w:ascii="Arial" w:eastAsia="Arial" w:hAnsi="Arial"/>
          <w:color w:val="000000"/>
          <w:sz w:val="28"/>
          <w:szCs w:val="28"/>
        </w:rPr>
        <w:t>Accessible sports and recreation;</w:t>
      </w:r>
    </w:p>
    <w:p w14:paraId="524E1216" w14:textId="77777777" w:rsidR="005523BF" w:rsidRDefault="00000000">
      <w:pPr>
        <w:pStyle w:val="ListParagraph"/>
        <w:numPr>
          <w:ilvl w:val="0"/>
          <w:numId w:val="1"/>
        </w:numPr>
        <w:shd w:val="clear" w:color="auto" w:fill="FFFFFF"/>
        <w:spacing w:after="120"/>
        <w:contextualSpacing/>
        <w:rPr>
          <w:rFonts w:ascii="Arial" w:eastAsia="Arial" w:hAnsi="Arial"/>
          <w:color w:val="000000"/>
          <w:sz w:val="28"/>
          <w:szCs w:val="28"/>
        </w:rPr>
      </w:pPr>
      <w:r>
        <w:rPr>
          <w:rFonts w:ascii="Arial" w:eastAsia="Arial" w:hAnsi="Arial"/>
          <w:color w:val="000000"/>
          <w:sz w:val="28"/>
          <w:szCs w:val="28"/>
        </w:rPr>
        <w:lastRenderedPageBreak/>
        <w:t>Accessible education and learning;</w:t>
      </w:r>
    </w:p>
    <w:p w14:paraId="1818B8C0" w14:textId="77777777" w:rsidR="005523BF" w:rsidRDefault="00000000">
      <w:pPr>
        <w:pStyle w:val="ListParagraph"/>
        <w:numPr>
          <w:ilvl w:val="0"/>
          <w:numId w:val="1"/>
        </w:numPr>
        <w:shd w:val="clear" w:color="auto" w:fill="FFFFFF"/>
        <w:spacing w:after="120"/>
        <w:contextualSpacing/>
      </w:pPr>
      <w:r>
        <w:rPr>
          <w:rFonts w:ascii="Arial" w:eastAsia="Arial" w:hAnsi="Arial"/>
          <w:color w:val="000000"/>
          <w:sz w:val="28"/>
          <w:szCs w:val="28"/>
        </w:rPr>
        <w:t>Accessible community participation.</w:t>
      </w:r>
      <w:r>
        <w:br/>
      </w:r>
    </w:p>
    <w:p w14:paraId="077460AA" w14:textId="1840EBD4" w:rsidR="005523BF" w:rsidRDefault="00000000" w:rsidP="769959E2">
      <w:pPr>
        <w:shd w:val="clear" w:color="auto" w:fill="FFFFFF" w:themeFill="background1"/>
      </w:pPr>
      <w:r w:rsidRPr="769959E2">
        <w:rPr>
          <w:rFonts w:ascii="Arial" w:eastAsia="Arial" w:hAnsi="Arial"/>
          <w:color w:val="000000" w:themeColor="text1"/>
          <w:sz w:val="28"/>
          <w:szCs w:val="28"/>
        </w:rPr>
        <w:t>Applications will open on</w:t>
      </w:r>
      <w:r w:rsidR="29FCE1B2" w:rsidRPr="769959E2">
        <w:rPr>
          <w:rFonts w:ascii="Arial" w:eastAsia="Arial" w:hAnsi="Arial"/>
          <w:color w:val="000000" w:themeColor="text1"/>
          <w:sz w:val="28"/>
          <w:szCs w:val="28"/>
        </w:rPr>
        <w:t xml:space="preserve"> August 5</w:t>
      </w:r>
      <w:r w:rsidR="29FCE1B2" w:rsidRPr="769959E2">
        <w:rPr>
          <w:rFonts w:ascii="Arial" w:eastAsia="Arial" w:hAnsi="Arial"/>
          <w:color w:val="000000" w:themeColor="text1"/>
          <w:sz w:val="28"/>
          <w:szCs w:val="28"/>
          <w:vertAlign w:val="superscript"/>
        </w:rPr>
        <w:t>th</w:t>
      </w:r>
      <w:r w:rsidR="29FCE1B2" w:rsidRPr="769959E2">
        <w:rPr>
          <w:rFonts w:ascii="Arial" w:eastAsia="Arial" w:hAnsi="Arial"/>
          <w:color w:val="000000" w:themeColor="text1"/>
          <w:sz w:val="28"/>
          <w:szCs w:val="28"/>
        </w:rPr>
        <w:t xml:space="preserve"> </w:t>
      </w:r>
      <w:r w:rsidRPr="769959E2">
        <w:rPr>
          <w:rFonts w:ascii="Arial" w:eastAsia="Arial" w:hAnsi="Arial"/>
          <w:color w:val="000000" w:themeColor="text1"/>
          <w:sz w:val="28"/>
          <w:szCs w:val="28"/>
        </w:rPr>
        <w:t xml:space="preserve">and close on </w:t>
      </w:r>
      <w:r w:rsidR="5EACDADE" w:rsidRPr="769959E2">
        <w:rPr>
          <w:rFonts w:ascii="Arial" w:eastAsia="Arial" w:hAnsi="Arial"/>
          <w:color w:val="000000" w:themeColor="text1"/>
          <w:sz w:val="28"/>
          <w:szCs w:val="28"/>
        </w:rPr>
        <w:t>September 11</w:t>
      </w:r>
      <w:r w:rsidR="5EACDADE" w:rsidRPr="003523B8">
        <w:rPr>
          <w:rFonts w:ascii="Arial" w:eastAsia="Arial" w:hAnsi="Arial"/>
          <w:color w:val="000000" w:themeColor="text1"/>
          <w:sz w:val="28"/>
          <w:szCs w:val="28"/>
          <w:vertAlign w:val="superscript"/>
        </w:rPr>
        <w:t>th</w:t>
      </w:r>
      <w:r w:rsidR="003523B8">
        <w:rPr>
          <w:rFonts w:ascii="Arial" w:eastAsia="Arial" w:hAnsi="Arial"/>
          <w:color w:val="000000" w:themeColor="text1"/>
          <w:sz w:val="28"/>
          <w:szCs w:val="28"/>
        </w:rPr>
        <w:t xml:space="preserve"> </w:t>
      </w:r>
      <w:r w:rsidRPr="769959E2">
        <w:rPr>
          <w:rFonts w:ascii="Arial" w:eastAsia="Arial" w:hAnsi="Arial"/>
          <w:color w:val="000000" w:themeColor="text1"/>
          <w:sz w:val="28"/>
          <w:szCs w:val="28"/>
        </w:rPr>
        <w:t xml:space="preserve">at 12pm Pacific Time. Granting decisions are made by a </w:t>
      </w:r>
      <w:r w:rsidR="426F613C" w:rsidRPr="769959E2">
        <w:rPr>
          <w:rFonts w:ascii="Arial" w:eastAsia="Arial" w:hAnsi="Arial"/>
          <w:color w:val="000000" w:themeColor="text1"/>
          <w:sz w:val="28"/>
          <w:szCs w:val="28"/>
        </w:rPr>
        <w:t xml:space="preserve">Review </w:t>
      </w:r>
      <w:r w:rsidRPr="769959E2">
        <w:rPr>
          <w:rFonts w:ascii="Arial" w:eastAsia="Arial" w:hAnsi="Arial"/>
          <w:color w:val="000000" w:themeColor="text1"/>
          <w:sz w:val="28"/>
          <w:szCs w:val="28"/>
        </w:rPr>
        <w:t xml:space="preserve">Committee of representatives from DABC and other disability and community organizations from around BC. Successful applicants will receive funding in December and implement their Accessibility Project in 2027. </w:t>
      </w:r>
      <w:r>
        <w:br/>
      </w:r>
      <w:r>
        <w:br/>
      </w:r>
      <w:r w:rsidRPr="769959E2">
        <w:rPr>
          <w:rFonts w:ascii="Arial" w:eastAsia="Arial" w:hAnsi="Arial"/>
          <w:color w:val="000000" w:themeColor="text1"/>
          <w:sz w:val="28"/>
          <w:szCs w:val="28"/>
        </w:rPr>
        <w:t xml:space="preserve">Eligibility criteria </w:t>
      </w:r>
      <w:proofErr w:type="gramStart"/>
      <w:r w:rsidRPr="769959E2">
        <w:rPr>
          <w:rFonts w:ascii="Arial" w:eastAsia="Arial" w:hAnsi="Arial"/>
          <w:color w:val="000000" w:themeColor="text1"/>
          <w:sz w:val="28"/>
          <w:szCs w:val="28"/>
        </w:rPr>
        <w:t>includes</w:t>
      </w:r>
      <w:proofErr w:type="gramEnd"/>
      <w:r w:rsidRPr="769959E2">
        <w:rPr>
          <w:rFonts w:ascii="Arial" w:eastAsia="Arial" w:hAnsi="Arial"/>
          <w:color w:val="000000" w:themeColor="text1"/>
          <w:sz w:val="28"/>
          <w:szCs w:val="28"/>
        </w:rPr>
        <w:t>:</w:t>
      </w:r>
    </w:p>
    <w:p w14:paraId="16AD151B" w14:textId="77777777" w:rsidR="005523BF" w:rsidRDefault="00000000">
      <w:pPr>
        <w:pStyle w:val="ListParagraph"/>
        <w:numPr>
          <w:ilvl w:val="0"/>
          <w:numId w:val="2"/>
        </w:numPr>
        <w:shd w:val="clear" w:color="auto" w:fill="FFFFFF"/>
        <w:contextualSpacing/>
        <w:rPr>
          <w:rFonts w:ascii="Arial" w:eastAsia="Arial" w:hAnsi="Arial"/>
          <w:color w:val="000000"/>
          <w:sz w:val="28"/>
          <w:szCs w:val="28"/>
        </w:rPr>
      </w:pPr>
      <w:r>
        <w:rPr>
          <w:rFonts w:ascii="Arial" w:eastAsia="Arial" w:hAnsi="Arial"/>
          <w:color w:val="000000"/>
          <w:sz w:val="28"/>
          <w:szCs w:val="28"/>
        </w:rPr>
        <w:t xml:space="preserve">Projects must be focused on community engagement rather than large capital costs such as accessibility improvements to buildings. </w:t>
      </w:r>
    </w:p>
    <w:p w14:paraId="090F5AE5" w14:textId="77777777" w:rsidR="005523BF" w:rsidRDefault="00000000">
      <w:pPr>
        <w:pStyle w:val="ListParagraph"/>
        <w:numPr>
          <w:ilvl w:val="0"/>
          <w:numId w:val="2"/>
        </w:numPr>
        <w:shd w:val="clear" w:color="auto" w:fill="FFFFFF"/>
        <w:contextualSpacing/>
        <w:rPr>
          <w:rFonts w:ascii="Arial" w:eastAsia="Arial" w:hAnsi="Arial"/>
          <w:color w:val="000000"/>
          <w:sz w:val="28"/>
          <w:szCs w:val="28"/>
        </w:rPr>
      </w:pPr>
      <w:r>
        <w:rPr>
          <w:rFonts w:ascii="Arial" w:eastAsia="Arial" w:hAnsi="Arial"/>
          <w:color w:val="000000"/>
          <w:sz w:val="28"/>
          <w:szCs w:val="28"/>
        </w:rPr>
        <w:t>Eligible organizations must be not-for-profit organizations with a volunteer Board chosen by its membership. They must be based in BC (or have a base of operations in and sufficient capacity to deliver services in BC) and must operate primarily for community benefit and have services open to the public rather than restricted to their membership.</w:t>
      </w:r>
    </w:p>
    <w:p w14:paraId="2D1EAB81" w14:textId="77777777" w:rsidR="005523BF" w:rsidRDefault="00000000">
      <w:pPr>
        <w:pStyle w:val="ListParagraph"/>
        <w:numPr>
          <w:ilvl w:val="0"/>
          <w:numId w:val="2"/>
        </w:numPr>
        <w:shd w:val="clear" w:color="auto" w:fill="FFFFFF"/>
        <w:spacing w:after="0"/>
        <w:contextualSpacing/>
        <w:rPr>
          <w:rFonts w:ascii="Arial" w:eastAsia="Arial" w:hAnsi="Arial"/>
          <w:color w:val="000000"/>
          <w:sz w:val="28"/>
          <w:szCs w:val="28"/>
        </w:rPr>
      </w:pPr>
      <w:r>
        <w:rPr>
          <w:rFonts w:ascii="Arial" w:eastAsia="Arial" w:hAnsi="Arial"/>
          <w:color w:val="000000"/>
          <w:sz w:val="28"/>
          <w:szCs w:val="28"/>
        </w:rPr>
        <w:t>If an organization has received a grant in the past, they can reapply 5 years after their application was submitted (for example, if an organization applied in 2021 for a grant and did their project in 2021, they can reapply in 2026 to do a project in 2027).</w:t>
      </w:r>
    </w:p>
    <w:p w14:paraId="0CA64311" w14:textId="77777777" w:rsidR="005523BF" w:rsidRDefault="00000000">
      <w:pPr>
        <w:spacing w:after="0"/>
      </w:pPr>
      <w:r>
        <w:rPr>
          <w:rFonts w:ascii="Arial" w:eastAsia="Arial" w:hAnsi="Arial"/>
          <w:color w:val="000000"/>
          <w:sz w:val="28"/>
          <w:szCs w:val="28"/>
        </w:rPr>
        <w:br/>
        <w:t xml:space="preserve">To learn more about the grants and organizations that have received funding in the past, please visit: </w:t>
      </w:r>
      <w:hyperlink r:id="rId10" w:history="1">
        <w:r w:rsidR="005523BF">
          <w:rPr>
            <w:rStyle w:val="Hyperlink"/>
            <w:rFonts w:ascii="Arial" w:eastAsia="Arial" w:hAnsi="Arial"/>
            <w:sz w:val="28"/>
            <w:szCs w:val="28"/>
          </w:rPr>
          <w:t>Accessibility Projects Grants | DABC (disabilityalliancebc.org)</w:t>
        </w:r>
      </w:hyperlink>
      <w:r>
        <w:rPr>
          <w:rFonts w:ascii="Arial" w:eastAsia="Arial" w:hAnsi="Arial"/>
          <w:color w:val="000000"/>
          <w:sz w:val="28"/>
          <w:szCs w:val="28"/>
        </w:rPr>
        <w:t>.</w:t>
      </w:r>
    </w:p>
    <w:p w14:paraId="6167966D" w14:textId="42621BCF" w:rsidR="005523BF" w:rsidRDefault="00000000">
      <w:pPr>
        <w:jc w:val="both"/>
      </w:pPr>
      <w:r>
        <w:rPr>
          <w:rFonts w:ascii="Arial" w:eastAsia="Arial" w:hAnsi="Arial"/>
          <w:color w:val="000000"/>
          <w:sz w:val="28"/>
          <w:szCs w:val="28"/>
        </w:rPr>
        <w:br/>
      </w:r>
      <w:r>
        <w:rPr>
          <w:rFonts w:ascii="Arial" w:eastAsia="Arial" w:hAnsi="Arial"/>
          <w:b/>
          <w:bCs/>
          <w:color w:val="000000"/>
          <w:sz w:val="28"/>
          <w:szCs w:val="28"/>
        </w:rPr>
        <w:t>Media Contact:</w:t>
      </w:r>
    </w:p>
    <w:p w14:paraId="5E02B6BA" w14:textId="77777777" w:rsidR="005523BF" w:rsidRDefault="00000000">
      <w:r>
        <w:rPr>
          <w:rFonts w:ascii="Arial" w:eastAsia="Arial" w:hAnsi="Arial"/>
          <w:color w:val="000000"/>
          <w:sz w:val="28"/>
          <w:szCs w:val="28"/>
        </w:rPr>
        <w:t>Helaine Boyd</w:t>
      </w:r>
      <w:r>
        <w:rPr>
          <w:rFonts w:ascii="Arial" w:eastAsia="Arial" w:hAnsi="Arial"/>
          <w:color w:val="000000"/>
          <w:sz w:val="28"/>
          <w:szCs w:val="28"/>
        </w:rPr>
        <w:br/>
        <w:t>Executive Director</w:t>
      </w:r>
      <w:r>
        <w:rPr>
          <w:rFonts w:ascii="Arial" w:eastAsia="Arial" w:hAnsi="Arial"/>
          <w:color w:val="000000"/>
          <w:sz w:val="28"/>
          <w:szCs w:val="28"/>
        </w:rPr>
        <w:br/>
      </w:r>
      <w:hyperlink r:id="rId11" w:history="1">
        <w:r w:rsidR="005523BF">
          <w:rPr>
            <w:rStyle w:val="Hyperlink"/>
            <w:rFonts w:ascii="Arial" w:eastAsia="Arial" w:hAnsi="Arial"/>
            <w:sz w:val="28"/>
            <w:szCs w:val="28"/>
          </w:rPr>
          <w:t>helaine@dabc.ca</w:t>
        </w:r>
      </w:hyperlink>
    </w:p>
    <w:sectPr w:rsidR="005523BF">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1DAB" w14:textId="77777777" w:rsidR="00F27E68" w:rsidRDefault="00F27E68">
      <w:pPr>
        <w:spacing w:after="0" w:line="240" w:lineRule="auto"/>
      </w:pPr>
      <w:r>
        <w:separator/>
      </w:r>
    </w:p>
  </w:endnote>
  <w:endnote w:type="continuationSeparator" w:id="0">
    <w:p w14:paraId="5897B3D5" w14:textId="77777777" w:rsidR="00F27E68" w:rsidRDefault="00F2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CellMar>
        <w:left w:w="10" w:type="dxa"/>
        <w:right w:w="10" w:type="dxa"/>
      </w:tblCellMar>
      <w:tblLook w:val="0000" w:firstRow="0" w:lastRow="0" w:firstColumn="0" w:lastColumn="0" w:noHBand="0" w:noVBand="0"/>
    </w:tblPr>
    <w:tblGrid>
      <w:gridCol w:w="3120"/>
      <w:gridCol w:w="3120"/>
      <w:gridCol w:w="3120"/>
    </w:tblGrid>
    <w:tr w:rsidR="00582BA5" w14:paraId="38533459" w14:textId="77777777">
      <w:trPr>
        <w:trHeight w:val="300"/>
      </w:trPr>
      <w:tc>
        <w:tcPr>
          <w:tcW w:w="3120" w:type="dxa"/>
          <w:tcMar>
            <w:top w:w="0" w:type="dxa"/>
            <w:left w:w="108" w:type="dxa"/>
            <w:bottom w:w="0" w:type="dxa"/>
            <w:right w:w="108" w:type="dxa"/>
          </w:tcMar>
        </w:tcPr>
        <w:p w14:paraId="47BE614A" w14:textId="77777777" w:rsidR="008D6DF3" w:rsidRDefault="008D6DF3">
          <w:pPr>
            <w:pStyle w:val="Header"/>
            <w:ind w:left="-115"/>
          </w:pPr>
        </w:p>
      </w:tc>
      <w:tc>
        <w:tcPr>
          <w:tcW w:w="3120" w:type="dxa"/>
          <w:tcMar>
            <w:top w:w="0" w:type="dxa"/>
            <w:left w:w="108" w:type="dxa"/>
            <w:bottom w:w="0" w:type="dxa"/>
            <w:right w:w="108" w:type="dxa"/>
          </w:tcMar>
        </w:tcPr>
        <w:p w14:paraId="6DA72D92" w14:textId="77777777" w:rsidR="008D6DF3" w:rsidRDefault="008D6DF3">
          <w:pPr>
            <w:pStyle w:val="Header"/>
            <w:jc w:val="center"/>
          </w:pPr>
        </w:p>
      </w:tc>
      <w:tc>
        <w:tcPr>
          <w:tcW w:w="3120" w:type="dxa"/>
          <w:tcMar>
            <w:top w:w="0" w:type="dxa"/>
            <w:left w:w="108" w:type="dxa"/>
            <w:bottom w:w="0" w:type="dxa"/>
            <w:right w:w="108" w:type="dxa"/>
          </w:tcMar>
        </w:tcPr>
        <w:p w14:paraId="418C2423" w14:textId="77777777" w:rsidR="008D6DF3" w:rsidRDefault="008D6DF3">
          <w:pPr>
            <w:pStyle w:val="Header"/>
            <w:ind w:right="-115"/>
            <w:jc w:val="right"/>
          </w:pPr>
        </w:p>
      </w:tc>
    </w:tr>
  </w:tbl>
  <w:p w14:paraId="6B0C07CE" w14:textId="77777777" w:rsidR="008D6DF3" w:rsidRDefault="008D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73A4" w14:textId="77777777" w:rsidR="00F27E68" w:rsidRDefault="00F27E68">
      <w:pPr>
        <w:spacing w:after="0" w:line="240" w:lineRule="auto"/>
      </w:pPr>
      <w:r>
        <w:rPr>
          <w:color w:val="000000"/>
        </w:rPr>
        <w:separator/>
      </w:r>
    </w:p>
  </w:footnote>
  <w:footnote w:type="continuationSeparator" w:id="0">
    <w:p w14:paraId="41A4E4D3" w14:textId="77777777" w:rsidR="00F27E68" w:rsidRDefault="00F2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CellMar>
        <w:left w:w="10" w:type="dxa"/>
        <w:right w:w="10" w:type="dxa"/>
      </w:tblCellMar>
      <w:tblLook w:val="0000" w:firstRow="0" w:lastRow="0" w:firstColumn="0" w:lastColumn="0" w:noHBand="0" w:noVBand="0"/>
    </w:tblPr>
    <w:tblGrid>
      <w:gridCol w:w="8916"/>
      <w:gridCol w:w="222"/>
      <w:gridCol w:w="222"/>
    </w:tblGrid>
    <w:tr w:rsidR="00582BA5" w14:paraId="64DBB18B" w14:textId="77777777">
      <w:trPr>
        <w:trHeight w:val="1425"/>
      </w:trPr>
      <w:tc>
        <w:tcPr>
          <w:tcW w:w="8916" w:type="dxa"/>
          <w:tcMar>
            <w:top w:w="0" w:type="dxa"/>
            <w:left w:w="108" w:type="dxa"/>
            <w:bottom w:w="0" w:type="dxa"/>
            <w:right w:w="108" w:type="dxa"/>
          </w:tcMar>
        </w:tcPr>
        <w:p w14:paraId="7FE4C1DA" w14:textId="77777777" w:rsidR="008D6DF3" w:rsidRDefault="00000000">
          <w:pPr>
            <w:pStyle w:val="Header"/>
            <w:ind w:left="-115"/>
          </w:pPr>
          <w:r>
            <w:rPr>
              <w:noProof/>
            </w:rPr>
            <w:drawing>
              <wp:inline distT="0" distB="0" distL="0" distR="0" wp14:anchorId="6D432EDF" wp14:editId="456A14A0">
                <wp:extent cx="5943600" cy="778511"/>
                <wp:effectExtent l="0" t="0" r="0" b="2539"/>
                <wp:docPr id="575258709" name="Picture 1" descr="A close-up of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943600" cy="778511"/>
                        </a:xfrm>
                        <a:prstGeom prst="rect">
                          <a:avLst/>
                        </a:prstGeom>
                        <a:noFill/>
                        <a:ln>
                          <a:noFill/>
                          <a:prstDash/>
                        </a:ln>
                      </pic:spPr>
                    </pic:pic>
                  </a:graphicData>
                </a:graphic>
              </wp:inline>
            </w:drawing>
          </w:r>
        </w:p>
      </w:tc>
      <w:tc>
        <w:tcPr>
          <w:tcW w:w="222" w:type="dxa"/>
          <w:tcMar>
            <w:top w:w="0" w:type="dxa"/>
            <w:left w:w="108" w:type="dxa"/>
            <w:bottom w:w="0" w:type="dxa"/>
            <w:right w:w="108" w:type="dxa"/>
          </w:tcMar>
        </w:tcPr>
        <w:p w14:paraId="05EDC2A2" w14:textId="77777777" w:rsidR="008D6DF3" w:rsidRDefault="008D6DF3">
          <w:pPr>
            <w:pStyle w:val="Header"/>
            <w:jc w:val="center"/>
          </w:pPr>
        </w:p>
      </w:tc>
      <w:tc>
        <w:tcPr>
          <w:tcW w:w="222" w:type="dxa"/>
          <w:tcMar>
            <w:top w:w="0" w:type="dxa"/>
            <w:left w:w="108" w:type="dxa"/>
            <w:bottom w:w="0" w:type="dxa"/>
            <w:right w:w="108" w:type="dxa"/>
          </w:tcMar>
        </w:tcPr>
        <w:p w14:paraId="0D5083C4" w14:textId="77777777" w:rsidR="008D6DF3" w:rsidRDefault="008D6DF3">
          <w:pPr>
            <w:pStyle w:val="Header"/>
            <w:ind w:right="-115"/>
            <w:jc w:val="right"/>
          </w:pPr>
        </w:p>
      </w:tc>
    </w:tr>
  </w:tbl>
  <w:p w14:paraId="5B371C4D" w14:textId="77777777" w:rsidR="008D6DF3" w:rsidRDefault="008D6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5E35"/>
    <w:multiLevelType w:val="multilevel"/>
    <w:tmpl w:val="D012BE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5F1D37D0"/>
    <w:multiLevelType w:val="multilevel"/>
    <w:tmpl w:val="C47447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907836610">
    <w:abstractNumId w:val="0"/>
  </w:num>
  <w:num w:numId="2" w16cid:durableId="157254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BF"/>
    <w:rsid w:val="002E5459"/>
    <w:rsid w:val="003523B8"/>
    <w:rsid w:val="005523BF"/>
    <w:rsid w:val="0055319B"/>
    <w:rsid w:val="00737E9A"/>
    <w:rsid w:val="007A4A87"/>
    <w:rsid w:val="007F5DB5"/>
    <w:rsid w:val="008D6DF3"/>
    <w:rsid w:val="00CF75A0"/>
    <w:rsid w:val="00F27E68"/>
    <w:rsid w:val="29FCE1B2"/>
    <w:rsid w:val="426F613C"/>
    <w:rsid w:val="5EACDADE"/>
    <w:rsid w:val="5F9AF137"/>
    <w:rsid w:val="693D528E"/>
    <w:rsid w:val="76995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9E4C"/>
  <w15:docId w15:val="{43392278-E326-4F72-90FE-E75E9CBD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MS Mincho" w:hAnsi="Aptos" w:cs="Arial"/>
        <w:sz w:val="24"/>
        <w:szCs w:val="24"/>
        <w:lang w:val="en-US" w:eastAsia="ja-JP"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467886"/>
      <w:u w:val="single"/>
    </w:r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aine@dabc.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isabilityalliancebc.org/program/accessibility-proje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6" ma:contentTypeDescription="Create a new document." ma:contentTypeScope="" ma:versionID="9f103ac99120e962dc4b5331b9f40c51">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2b9318cd5e78f0ee351e5d23f50c0352"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D64A4-3586-47E9-90FC-433AA1C6C84B}">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2.xml><?xml version="1.0" encoding="utf-8"?>
<ds:datastoreItem xmlns:ds="http://schemas.openxmlformats.org/officeDocument/2006/customXml" ds:itemID="{FA671AB8-8C45-4A74-A4E2-A1186C33C4E0}">
  <ds:schemaRefs>
    <ds:schemaRef ds:uri="http://schemas.microsoft.com/sharepoint/v3/contenttype/forms"/>
  </ds:schemaRefs>
</ds:datastoreItem>
</file>

<file path=customXml/itemProps3.xml><?xml version="1.0" encoding="utf-8"?>
<ds:datastoreItem xmlns:ds="http://schemas.openxmlformats.org/officeDocument/2006/customXml" ds:itemID="{1A3E4AEF-B6E5-408C-94D0-A4E8AC3A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Accessibility Projects</dc:creator>
  <dc:description/>
  <cp:lastModifiedBy>Helaine Boyd</cp:lastModifiedBy>
  <cp:revision>6</cp:revision>
  <dcterms:created xsi:type="dcterms:W3CDTF">2026-05-20T22:49:00Z</dcterms:created>
  <dcterms:modified xsi:type="dcterms:W3CDTF">2026-06-01T17:52:00Z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